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818891">
      <w:pPr>
        <w:keepNext w:val="0"/>
        <w:keepLines w:val="0"/>
        <w:pageBreakBefore w:val="0"/>
        <w:widowControl w:val="0"/>
        <w:suppressLineNumbers w:val="0"/>
        <w:kinsoku/>
        <w:wordWrap w:val="0"/>
        <w:overflowPunct/>
        <w:topLinePunct w:val="0"/>
        <w:autoSpaceDE/>
        <w:autoSpaceDN/>
        <w:bidi w:val="0"/>
        <w:adjustRightInd/>
        <w:snapToGrid w:val="0"/>
        <w:spacing w:before="1400" w:beforeAutospacing="0" w:afterAutospacing="0" w:line="240" w:lineRule="auto"/>
        <w:ind w:left="0" w:leftChars="0" w:right="250" w:rightChars="119" w:firstLine="0" w:firstLineChars="0"/>
        <w:jc w:val="right"/>
        <w:textAlignment w:val="auto"/>
        <w:outlineLvl w:val="9"/>
        <w:rPr>
          <w:rFonts w:hint="eastAsia" w:ascii="仿宋" w:hAnsi="仿宋" w:eastAsia="仿宋" w:cs="仿宋"/>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榕环评〔2025〕32号</w:t>
      </w:r>
    </w:p>
    <w:p w14:paraId="35300938">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right="0"/>
        <w:jc w:val="center"/>
        <w:textAlignment w:val="auto"/>
        <w:rPr>
          <w:rFonts w:hint="eastAsia" w:ascii="长城小标宋体" w:hAnsi="长城小标宋体" w:eastAsia="长城小标宋体" w:cs="长城小标宋体"/>
          <w:sz w:val="40"/>
          <w:szCs w:val="40"/>
          <w:highlight w:val="none"/>
          <w:lang w:val="en-US"/>
        </w:rPr>
      </w:pPr>
      <w:r>
        <w:rPr>
          <w:rFonts w:hint="eastAsia" w:ascii="长城小标宋体" w:hAnsi="长城小标宋体" w:eastAsia="长城小标宋体" w:cs="长城小标宋体"/>
          <w:kern w:val="2"/>
          <w:sz w:val="40"/>
          <w:szCs w:val="40"/>
          <w:highlight w:val="none"/>
          <w:lang w:val="en-US" w:eastAsia="zh-CN" w:bidi="ar"/>
        </w:rPr>
        <w:t>福州市生态环境局关于东南汽车城新城西路大桥及延伸段道路工程环境影响报告表的审批意见</w:t>
      </w:r>
    </w:p>
    <w:p w14:paraId="44ADCA58">
      <w:pPr>
        <w:keepNext w:val="0"/>
        <w:keepLines w:val="0"/>
        <w:widowControl w:val="0"/>
        <w:suppressLineNumbers w:val="0"/>
        <w:snapToGrid w:val="0"/>
        <w:spacing w:before="0" w:beforeAutospacing="0" w:after="0" w:afterAutospacing="0" w:line="600" w:lineRule="exact"/>
        <w:ind w:left="0" w:right="0"/>
        <w:jc w:val="both"/>
        <w:rPr>
          <w:rFonts w:hint="eastAsia" w:ascii="仿宋_GB2312" w:hAnsi="Times New Roman" w:eastAsia="仿宋_GB2312" w:cs="仿宋_GB2312"/>
          <w:kern w:val="2"/>
          <w:sz w:val="32"/>
          <w:szCs w:val="32"/>
          <w:highlight w:val="none"/>
          <w:lang w:val="en-US" w:eastAsia="zh-CN" w:bidi="ar"/>
        </w:rPr>
      </w:pPr>
    </w:p>
    <w:p w14:paraId="40353161">
      <w:pPr>
        <w:keepNext w:val="0"/>
        <w:keepLines w:val="0"/>
        <w:widowControl w:val="0"/>
        <w:suppressLineNumbers w:val="0"/>
        <w:snapToGrid w:val="0"/>
        <w:spacing w:before="0" w:beforeAutospacing="0" w:after="0" w:afterAutospacing="0" w:line="600" w:lineRule="exact"/>
        <w:ind w:left="0" w:right="0"/>
        <w:jc w:val="both"/>
        <w:rPr>
          <w:rFonts w:hint="eastAsia" w:ascii="仿宋_GB2312" w:eastAsia="仿宋_GB2312" w:cs="仿宋_GB2312"/>
          <w:sz w:val="32"/>
          <w:szCs w:val="32"/>
          <w:highlight w:val="none"/>
          <w:lang w:val="en-US"/>
        </w:rPr>
      </w:pPr>
      <w:r>
        <w:rPr>
          <w:rFonts w:hint="eastAsia" w:ascii="仿宋_GB2312" w:hAnsi="Times New Roman" w:eastAsia="仿宋_GB2312" w:cs="仿宋_GB2312"/>
          <w:kern w:val="2"/>
          <w:sz w:val="32"/>
          <w:szCs w:val="32"/>
          <w:highlight w:val="none"/>
          <w:lang w:val="en-US" w:eastAsia="zh-CN" w:bidi="ar"/>
        </w:rPr>
        <w:t>福州东南汽车城投资发展集团有限公司：</w:t>
      </w:r>
    </w:p>
    <w:p w14:paraId="5CC39287">
      <w:pPr>
        <w:keepNext w:val="0"/>
        <w:keepLines w:val="0"/>
        <w:widowControl w:val="0"/>
        <w:suppressLineNumbers w:val="0"/>
        <w:snapToGrid w:val="0"/>
        <w:spacing w:before="0" w:beforeAutospacing="0" w:after="0" w:afterAutospacing="0" w:line="600" w:lineRule="exact"/>
        <w:ind w:left="0" w:right="0" w:firstLine="624" w:firstLineChars="195"/>
        <w:jc w:val="both"/>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你司报送的《东南汽车城新城西路大桥及延伸段道路工程环境影响报告表》(以下简称《报告表》)收悉。根据《环境影响评价法》第二十二条等规定，并征求福州市闽侯生态环境局意见，现提出审批意见如下：</w:t>
      </w:r>
    </w:p>
    <w:p w14:paraId="13C8D34F">
      <w:pPr>
        <w:keepNext w:val="0"/>
        <w:keepLines w:val="0"/>
        <w:widowControl w:val="0"/>
        <w:numPr>
          <w:ilvl w:val="0"/>
          <w:numId w:val="0"/>
        </w:numPr>
        <w:suppressLineNumbers w:val="0"/>
        <w:snapToGrid w:val="0"/>
        <w:spacing w:before="0" w:beforeAutospacing="0" w:after="0" w:afterAutospacing="0" w:line="600" w:lineRule="exact"/>
        <w:ind w:right="0" w:rightChars="0" w:firstLine="640" w:firstLineChars="200"/>
        <w:jc w:val="both"/>
        <w:rPr>
          <w:rFonts w:hint="eastAsia"/>
          <w:highlight w:val="none"/>
          <w:lang w:val="en-US" w:eastAsia="zh-CN"/>
        </w:rPr>
      </w:pPr>
      <w:r>
        <w:rPr>
          <w:rFonts w:hint="eastAsia" w:ascii="仿宋_GB2312" w:hAnsi="Times New Roman" w:eastAsia="仿宋_GB2312" w:cs="宋体"/>
          <w:kern w:val="0"/>
          <w:sz w:val="32"/>
          <w:szCs w:val="32"/>
          <w:highlight w:val="none"/>
          <w:lang w:val="en-US" w:eastAsia="zh-CN" w:bidi="ar"/>
        </w:rPr>
        <w:t>一、</w:t>
      </w:r>
      <w:r>
        <w:rPr>
          <w:rFonts w:hint="eastAsia" w:ascii="仿宋_GB2312" w:hAnsi="Times New Roman" w:eastAsia="仿宋_GB2312" w:cs="仿宋_GB2312"/>
          <w:kern w:val="2"/>
          <w:sz w:val="32"/>
          <w:szCs w:val="32"/>
          <w:highlight w:val="none"/>
          <w:lang w:val="en-US" w:eastAsia="zh-CN" w:bidi="ar"/>
        </w:rPr>
        <w:t>东南汽车城新城西路大桥及延伸段道路工程项目</w:t>
      </w:r>
      <w:r>
        <w:rPr>
          <w:rFonts w:hint="eastAsia" w:ascii="仿宋_GB2312" w:hAnsi="Times New Roman" w:eastAsia="仿宋_GB2312" w:cs="宋体"/>
          <w:kern w:val="0"/>
          <w:sz w:val="32"/>
          <w:szCs w:val="32"/>
          <w:highlight w:val="none"/>
          <w:lang w:val="en-US" w:eastAsia="zh-CN" w:bidi="ar"/>
        </w:rPr>
        <w:t>位于福建省福州市闽侯县青口镇，主要建设内容：道路、桥梁、交通、雨水、污水、给水、电力、照明及通讯工程等。道路工程：祥青路，起点与新城西路平面交叉，终点与现状祥青路衔接，设计时速30千米/小时，路线全长373米，规划路幅宽度30米，道路等级为城市次干路。新城西路，起点与祥青路平面交叉，终点与现状新城西路相接，设计时速40千米/小时，路线全长600米，规划路幅宽度36米，道路等级为城市主干路。桥梁工程：设计桥梁2座。根据《报告表》评价结论，该项目</w:t>
      </w:r>
      <w:r>
        <w:rPr>
          <w:rFonts w:hint="eastAsia"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符合生态环境保护相关法律法规和政策，符合生态环境分区管控</w:t>
      </w:r>
      <w:r>
        <w:rPr>
          <w:rFonts w:hint="eastAsia" w:ascii="仿宋_GB2312" w:hAnsi="Times New Roman" w:eastAsia="仿宋_GB2312" w:cs="宋体"/>
          <w:kern w:val="0"/>
          <w:sz w:val="32"/>
          <w:szCs w:val="32"/>
          <w:highlight w:val="none"/>
          <w:lang w:val="en-US" w:eastAsia="zh-CN" w:bidi="ar"/>
        </w:rPr>
        <w:t>。在严格落实《报告表》提出的各项生态环境保护和环境风险防控措施，加强环境管理的前提下，从环境影响角度分析，项目建设可行。我局原则同意《报告表》中所列建设项目的性质、规模、地点、工艺和拟采取的环境保护对策措施。</w:t>
      </w:r>
    </w:p>
    <w:p w14:paraId="03406322">
      <w:pPr>
        <w:keepNext w:val="0"/>
        <w:keepLines w:val="0"/>
        <w:widowControl w:val="0"/>
        <w:numPr>
          <w:ilvl w:val="0"/>
          <w:numId w:val="1"/>
        </w:numPr>
        <w:suppressLineNumbers w:val="0"/>
        <w:snapToGrid w:val="0"/>
        <w:spacing w:before="0" w:beforeAutospacing="0" w:after="0" w:afterAutospacing="0" w:line="600" w:lineRule="exact"/>
        <w:ind w:left="0" w:right="0" w:firstLine="624" w:firstLineChars="195"/>
        <w:jc w:val="both"/>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项目在施工和运营中应认真落实《报告表》提出的各项环境保护措施，并重点做好以下工作：</w:t>
      </w:r>
    </w:p>
    <w:p w14:paraId="1EA4266E">
      <w:pPr>
        <w:ind w:firstLine="640" w:firstLineChars="200"/>
        <w:rPr>
          <w:rFonts w:hint="default"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一）噪声污染防治。合理布局施工现场、安排施工作业时间，采取必要的措施防止施工噪声对沿线声环境敏感目标的影响。运营期应加强对沿线声环境敏感目标的噪声监测，预留资金，根据跟踪监测结果适时增补、完善噪声防治措施，确保声环境质量达到《声环境质量标准》（GB3096-2008）表1中3类环境噪声限值（道路两侧红线外2</w:t>
      </w:r>
      <w:bookmarkStart w:id="0" w:name="_GoBack"/>
      <w:bookmarkEnd w:id="0"/>
      <w:r>
        <w:rPr>
          <w:rFonts w:hint="eastAsia" w:ascii="仿宋_GB2312" w:hAnsi="Times New Roman" w:eastAsia="仿宋_GB2312" w:cs="宋体"/>
          <w:kern w:val="0"/>
          <w:sz w:val="32"/>
          <w:szCs w:val="32"/>
          <w:highlight w:val="none"/>
          <w:lang w:val="en-US" w:eastAsia="zh-CN" w:bidi="ar"/>
        </w:rPr>
        <w:t>5m范围内第一排住宅建筑物执行《声环境质量标准》（GB3096-2008）4a类标准）。</w:t>
      </w:r>
    </w:p>
    <w:p w14:paraId="55B3A7D7">
      <w:pPr>
        <w:ind w:firstLine="640" w:firstLineChars="200"/>
        <w:rPr>
          <w:rFonts w:hint="eastAsia" w:ascii="仿宋_GB2312" w:eastAsia="仿宋_GB2312"/>
          <w:bCs/>
          <w:sz w:val="32"/>
          <w:szCs w:val="32"/>
        </w:rPr>
      </w:pPr>
      <w:r>
        <w:rPr>
          <w:rFonts w:hint="eastAsia" w:ascii="仿宋_GB2312" w:hAnsi="Times New Roman" w:eastAsia="仿宋_GB2312" w:cs="宋体"/>
          <w:kern w:val="0"/>
          <w:sz w:val="32"/>
          <w:szCs w:val="32"/>
          <w:highlight w:val="none"/>
          <w:lang w:val="en-US" w:eastAsia="zh-CN" w:bidi="ar"/>
        </w:rPr>
        <w:t>（二）施工期环境管理。不得擅自扩大临时用地面积。施工场地应通过设置围挡、喷淋、道路洒水降尘等措施减少扬尘影响。施工废水统一收集经沉淀池沉淀处理后回用，不外排。</w:t>
      </w:r>
      <w:r>
        <w:rPr>
          <w:rFonts w:hint="eastAsia" w:ascii="仿宋_GB2312" w:hAnsi="宋体" w:eastAsia="仿宋_GB2312"/>
          <w:color w:val="000000"/>
          <w:sz w:val="32"/>
          <w:szCs w:val="32"/>
        </w:rPr>
        <w:t>桥墩施工应采用围堰灌桩，产生的钻渣、泥沙及其它废弃物应清运到岸上指定地点处置，灌桩出浆经沉淀后循环使用；</w:t>
      </w:r>
      <w:r>
        <w:rPr>
          <w:rFonts w:hint="eastAsia" w:ascii="仿宋_GB2312" w:hAnsi="Times New Roman" w:eastAsia="仿宋_GB2312" w:cs="宋体"/>
          <w:kern w:val="0"/>
          <w:sz w:val="32"/>
          <w:szCs w:val="32"/>
          <w:highlight w:val="none"/>
          <w:lang w:val="en-US" w:eastAsia="zh-CN" w:bidi="ar"/>
        </w:rPr>
        <w:t>开挖土方应及时回填或清运，弃方运至渣土主管部门指定的弃土点。</w:t>
      </w:r>
      <w:r>
        <w:rPr>
          <w:rFonts w:hint="eastAsia" w:ascii="仿宋_GB2312" w:eastAsia="仿宋_GB2312"/>
          <w:bCs/>
          <w:sz w:val="32"/>
          <w:szCs w:val="32"/>
        </w:rPr>
        <w:t>施工结束后应及时对施工临时用地进行生态复垦和植被恢复。</w:t>
      </w:r>
    </w:p>
    <w:p w14:paraId="3202F9E0">
      <w:pPr>
        <w:keepNext w:val="0"/>
        <w:keepLines w:val="0"/>
        <w:widowControl w:val="0"/>
        <w:suppressLineNumbers w:val="0"/>
        <w:snapToGrid w:val="0"/>
        <w:spacing w:before="0" w:beforeAutospacing="0" w:after="0" w:afterAutospacing="0" w:line="600" w:lineRule="exact"/>
        <w:ind w:right="0" w:firstLine="640" w:firstLineChars="200"/>
        <w:jc w:val="both"/>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三、《报告表》批准后，如建设项目的性质、规模、地点、采用的生产工艺或者防治污染、防止生态破坏的措施发生重大变动的，应当依法重新报批项目环评。《报告表》自批准之日起满5年，项目方开工建设的，其环评应当依法报生态环境部门重新审核。</w:t>
      </w:r>
    </w:p>
    <w:p w14:paraId="12FAD803">
      <w:pPr>
        <w:keepNext w:val="0"/>
        <w:keepLines w:val="0"/>
        <w:widowControl w:val="0"/>
        <w:suppressLineNumbers w:val="0"/>
        <w:snapToGrid w:val="0"/>
        <w:spacing w:before="0" w:beforeAutospacing="0" w:after="0" w:afterAutospacing="0" w:line="600" w:lineRule="exact"/>
        <w:ind w:left="0" w:right="0" w:firstLine="624" w:firstLineChars="195"/>
        <w:jc w:val="both"/>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四、项目应加强环境管理，推进落实各项生态环境保护措施。严格执行环境保护“三同时”制度，加强施工期环境管理。竣工后应按规定程序实施竣工环境保护验收。</w:t>
      </w:r>
    </w:p>
    <w:p w14:paraId="436C40E9">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五、我局委托福州市生态环境保护综合执法支队开展该项目环保“三同时”监督检查，竣工后，由福州市闽侯生态环境局负责该项目日常环保监督管理工作。</w:t>
      </w:r>
    </w:p>
    <w:p w14:paraId="61403904">
      <w:pPr>
        <w:pStyle w:val="5"/>
        <w:widowControl/>
        <w:snapToGrid w:val="0"/>
        <w:spacing w:line="600" w:lineRule="exact"/>
        <w:ind w:right="1170" w:rightChars="557"/>
        <w:jc w:val="right"/>
        <w:rPr>
          <w:rFonts w:hint="eastAsia" w:ascii="仿宋_GB2312" w:eastAsia="仿宋_GB2312" w:cs="仿宋_GB2312"/>
          <w:highlight w:val="none"/>
          <w:lang w:eastAsia="zh-CN"/>
        </w:rPr>
      </w:pPr>
    </w:p>
    <w:p w14:paraId="3FB809EE">
      <w:pPr>
        <w:pStyle w:val="5"/>
        <w:widowControl/>
        <w:snapToGrid w:val="0"/>
        <w:spacing w:line="600" w:lineRule="exact"/>
        <w:ind w:right="1170" w:rightChars="557"/>
        <w:jc w:val="right"/>
        <w:rPr>
          <w:rFonts w:hint="eastAsia" w:ascii="仿宋_GB2312" w:eastAsia="仿宋_GB2312" w:cs="仿宋_GB2312"/>
          <w:highlight w:val="none"/>
          <w:lang w:val="en-US"/>
        </w:rPr>
      </w:pPr>
      <w:r>
        <w:rPr>
          <w:rFonts w:hint="eastAsia" w:ascii="仿宋_GB2312" w:eastAsia="仿宋_GB2312" w:cs="仿宋_GB2312"/>
          <w:highlight w:val="none"/>
          <w:lang w:eastAsia="zh-CN"/>
        </w:rPr>
        <w:t>福州市生态环境局</w:t>
      </w:r>
    </w:p>
    <w:p w14:paraId="2B819FF2">
      <w:pPr>
        <w:pStyle w:val="5"/>
        <w:widowControl/>
        <w:snapToGrid w:val="0"/>
        <w:spacing w:line="600" w:lineRule="exact"/>
        <w:ind w:right="1170" w:rightChars="557"/>
        <w:jc w:val="right"/>
        <w:rPr>
          <w:rFonts w:hint="eastAsia" w:ascii="仿宋_GB2312" w:eastAsia="仿宋_GB2312" w:cs="仿宋_GB2312"/>
          <w:highlight w:val="none"/>
          <w:lang w:eastAsia="zh-CN"/>
        </w:rPr>
      </w:pPr>
      <w:r>
        <w:rPr>
          <w:rFonts w:hint="eastAsia" w:ascii="仿宋_GB2312" w:eastAsia="仿宋_GB2312" w:cs="仿宋_GB2312"/>
          <w:highlight w:val="none"/>
          <w:lang w:val="en-US"/>
        </w:rPr>
        <w:t>20</w:t>
      </w:r>
      <w:r>
        <w:rPr>
          <w:rFonts w:hint="eastAsia" w:ascii="仿宋_GB2312" w:eastAsia="仿宋_GB2312" w:cs="仿宋_GB2312"/>
          <w:highlight w:val="none"/>
          <w:lang w:val="en-US" w:eastAsia="zh-CN"/>
        </w:rPr>
        <w:t>25</w:t>
      </w:r>
      <w:r>
        <w:rPr>
          <w:rFonts w:hint="eastAsia" w:ascii="仿宋_GB2312" w:eastAsia="仿宋_GB2312" w:cs="仿宋_GB2312"/>
          <w:highlight w:val="none"/>
          <w:lang w:eastAsia="zh-CN"/>
        </w:rPr>
        <w:t>年</w:t>
      </w:r>
      <w:r>
        <w:rPr>
          <w:rFonts w:hint="eastAsia" w:ascii="仿宋_GB2312" w:eastAsia="仿宋_GB2312" w:cs="仿宋_GB2312"/>
          <w:highlight w:val="none"/>
          <w:lang w:val="en-US" w:eastAsia="zh-CN"/>
        </w:rPr>
        <w:t>7</w:t>
      </w:r>
      <w:r>
        <w:rPr>
          <w:rFonts w:hint="eastAsia" w:ascii="仿宋_GB2312" w:eastAsia="仿宋_GB2312" w:cs="仿宋_GB2312"/>
          <w:highlight w:val="none"/>
          <w:lang w:eastAsia="zh-CN"/>
        </w:rPr>
        <w:t>月</w:t>
      </w:r>
      <w:r>
        <w:rPr>
          <w:rFonts w:hint="eastAsia" w:ascii="仿宋_GB2312" w:eastAsia="仿宋_GB2312" w:cs="仿宋_GB2312"/>
          <w:highlight w:val="none"/>
          <w:lang w:val="en-US" w:eastAsia="zh-CN"/>
        </w:rPr>
        <w:t>29</w:t>
      </w:r>
      <w:r>
        <w:rPr>
          <w:rFonts w:hint="eastAsia" w:ascii="仿宋_GB2312" w:eastAsia="仿宋_GB2312" w:cs="仿宋_GB2312"/>
          <w:highlight w:val="none"/>
          <w:lang w:eastAsia="zh-CN"/>
        </w:rPr>
        <w:t>日</w:t>
      </w:r>
    </w:p>
    <w:p w14:paraId="3522A7B0">
      <w:pPr>
        <w:rPr>
          <w:rFonts w:hint="eastAsia" w:ascii="仿宋_GB2312" w:eastAsia="仿宋_GB2312" w:cs="仿宋_GB2312"/>
          <w:highlight w:val="none"/>
          <w:lang w:eastAsia="zh-CN"/>
        </w:rPr>
      </w:pPr>
    </w:p>
    <w:p w14:paraId="12972C44">
      <w:pPr>
        <w:rPr>
          <w:rFonts w:hint="eastAsia" w:ascii="仿宋_GB2312" w:eastAsia="仿宋_GB2312" w:cs="仿宋_GB2312"/>
          <w:highlight w:val="none"/>
          <w:lang w:eastAsia="zh-CN"/>
        </w:rPr>
      </w:pPr>
    </w:p>
    <w:p w14:paraId="39CE8B19">
      <w:pPr>
        <w:rPr>
          <w:rFonts w:hint="eastAsia" w:ascii="仿宋_GB2312" w:eastAsia="仿宋_GB2312" w:cs="仿宋_GB2312"/>
          <w:highlight w:val="none"/>
          <w:lang w:eastAsia="zh-CN"/>
        </w:rPr>
      </w:pPr>
    </w:p>
    <w:p w14:paraId="6B663457">
      <w:pPr>
        <w:rPr>
          <w:rFonts w:hint="eastAsia" w:ascii="仿宋_GB2312" w:eastAsia="仿宋_GB2312" w:cs="仿宋_GB2312"/>
          <w:highlight w:val="none"/>
          <w:lang w:eastAsia="zh-CN"/>
        </w:rPr>
      </w:pPr>
    </w:p>
    <w:p w14:paraId="1500FF4A">
      <w:pPr>
        <w:rPr>
          <w:rFonts w:hint="eastAsia" w:ascii="仿宋_GB2312" w:eastAsia="仿宋_GB2312" w:cs="仿宋_GB2312"/>
          <w:highlight w:val="none"/>
          <w:lang w:eastAsia="zh-CN"/>
        </w:rPr>
      </w:pPr>
    </w:p>
    <w:p w14:paraId="70CB3CE3">
      <w:pPr>
        <w:rPr>
          <w:rFonts w:hint="eastAsia" w:ascii="仿宋_GB2312" w:eastAsia="仿宋_GB2312" w:cs="仿宋_GB2312"/>
          <w:highlight w:val="none"/>
          <w:lang w:eastAsia="zh-CN"/>
        </w:rPr>
      </w:pPr>
    </w:p>
    <w:p w14:paraId="3CC6B69E">
      <w:pPr>
        <w:rPr>
          <w:rFonts w:hint="eastAsia" w:ascii="仿宋_GB2312" w:eastAsia="仿宋_GB2312" w:cs="仿宋_GB2312"/>
          <w:highlight w:val="none"/>
          <w:lang w:eastAsia="zh-CN"/>
        </w:rPr>
      </w:pPr>
    </w:p>
    <w:p w14:paraId="0DB437C5">
      <w:pPr>
        <w:rPr>
          <w:rFonts w:hint="eastAsia" w:ascii="仿宋_GB2312" w:eastAsia="仿宋_GB2312" w:cs="仿宋_GB2312"/>
          <w:highlight w:val="none"/>
          <w:lang w:eastAsia="zh-CN"/>
        </w:rPr>
      </w:pPr>
    </w:p>
    <w:p w14:paraId="7C3F26FF">
      <w:pPr>
        <w:rPr>
          <w:rFonts w:hint="eastAsia" w:ascii="仿宋_GB2312" w:eastAsia="仿宋_GB2312" w:cs="仿宋_GB2312"/>
          <w:highlight w:val="none"/>
          <w:lang w:eastAsia="zh-CN"/>
        </w:rPr>
      </w:pPr>
    </w:p>
    <w:p w14:paraId="435C3626">
      <w:pPr>
        <w:rPr>
          <w:rFonts w:hint="eastAsia" w:ascii="仿宋_GB2312" w:eastAsia="仿宋_GB2312" w:cs="仿宋_GB2312"/>
          <w:highlight w:val="none"/>
          <w:lang w:eastAsia="zh-CN"/>
        </w:rPr>
      </w:pPr>
    </w:p>
    <w:p w14:paraId="17A3DCE5">
      <w:pPr>
        <w:rPr>
          <w:rFonts w:hint="eastAsia" w:ascii="仿宋_GB2312" w:eastAsia="仿宋_GB2312" w:cs="仿宋_GB2312"/>
          <w:highlight w:val="none"/>
          <w:lang w:eastAsia="zh-CN"/>
        </w:rPr>
      </w:pPr>
    </w:p>
    <w:p w14:paraId="44E76FF9">
      <w:pPr>
        <w:rPr>
          <w:rFonts w:hint="eastAsia" w:ascii="仿宋_GB2312" w:eastAsia="仿宋_GB2312" w:cs="仿宋_GB2312"/>
          <w:highlight w:val="none"/>
          <w:lang w:eastAsia="zh-CN"/>
        </w:rPr>
      </w:pPr>
    </w:p>
    <w:p w14:paraId="4F9B3992">
      <w:pPr>
        <w:rPr>
          <w:rFonts w:hint="eastAsia" w:ascii="仿宋_GB2312" w:eastAsia="仿宋_GB2312" w:cs="仿宋_GB2312"/>
          <w:highlight w:val="none"/>
          <w:lang w:val="en-US" w:eastAsia="zh-CN"/>
        </w:rPr>
      </w:pPr>
    </w:p>
    <w:p w14:paraId="57230A39">
      <w:pPr>
        <w:keepNext w:val="0"/>
        <w:keepLines w:val="0"/>
        <w:widowControl w:val="0"/>
        <w:suppressLineNumbers w:val="0"/>
        <w:snapToGrid w:val="0"/>
        <w:spacing w:before="0" w:beforeAutospacing="0" w:after="0" w:afterAutospacing="0"/>
        <w:ind w:left="0" w:right="0"/>
        <w:jc w:val="both"/>
        <w:rPr>
          <w:rFonts w:hint="eastAsia" w:ascii="仿宋_GB2312" w:eastAsia="仿宋_GB2312" w:cs="仿宋_GB2312"/>
          <w:highlight w:val="none"/>
          <w:lang w:val="en-US"/>
        </w:rPr>
      </w:pPr>
    </w:p>
    <w:tbl>
      <w:tblPr>
        <w:tblStyle w:val="9"/>
        <w:tblW w:w="87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55"/>
        <w:gridCol w:w="3885"/>
        <w:gridCol w:w="3675"/>
      </w:tblGrid>
      <w:tr w14:paraId="4080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1155" w:type="dxa"/>
            <w:tcBorders>
              <w:top w:val="single" w:color="auto" w:sz="4" w:space="0"/>
              <w:left w:val="nil"/>
              <w:bottom w:val="single" w:color="auto" w:sz="4" w:space="0"/>
              <w:right w:val="nil"/>
            </w:tcBorders>
            <w:shd w:val="clear" w:color="auto" w:fill="auto"/>
            <w:vAlign w:val="center"/>
          </w:tcPr>
          <w:p w14:paraId="2487DEF6">
            <w:pPr>
              <w:keepNext w:val="0"/>
              <w:keepLines w:val="0"/>
              <w:widowControl w:val="0"/>
              <w:suppressLineNumbers w:val="0"/>
              <w:tabs>
                <w:tab w:val="left" w:pos="3885"/>
              </w:tabs>
              <w:spacing w:before="0" w:beforeAutospacing="0" w:after="0" w:afterAutospacing="0"/>
              <w:ind w:left="0" w:right="0" w:firstLine="179" w:firstLineChars="64"/>
              <w:jc w:val="both"/>
              <w:rPr>
                <w:rFonts w:hint="eastAsia" w:ascii="仿宋_GB2312" w:eastAsia="仿宋_GB2312" w:cs="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抄送：</w:t>
            </w:r>
          </w:p>
        </w:tc>
        <w:tc>
          <w:tcPr>
            <w:tcW w:w="7560" w:type="dxa"/>
            <w:gridSpan w:val="2"/>
            <w:tcBorders>
              <w:top w:val="single" w:color="auto" w:sz="4" w:space="0"/>
              <w:left w:val="nil"/>
              <w:bottom w:val="single" w:color="auto" w:sz="4" w:space="0"/>
              <w:right w:val="nil"/>
            </w:tcBorders>
            <w:shd w:val="clear" w:color="auto" w:fill="auto"/>
            <w:vAlign w:val="center"/>
          </w:tcPr>
          <w:p w14:paraId="7A34B38F">
            <w:pPr>
              <w:keepNext w:val="0"/>
              <w:keepLines w:val="0"/>
              <w:widowControl w:val="0"/>
              <w:suppressLineNumbers w:val="0"/>
              <w:tabs>
                <w:tab w:val="left" w:pos="3885"/>
              </w:tabs>
              <w:spacing w:before="0" w:beforeAutospacing="0" w:after="0" w:afterAutospacing="0"/>
              <w:ind w:left="0" w:right="0"/>
              <w:jc w:val="both"/>
              <w:rPr>
                <w:rFonts w:hint="eastAsia" w:ascii="仿宋_GB2312" w:eastAsia="仿宋_GB2312" w:cs="仿宋_GB2312"/>
                <w:sz w:val="28"/>
                <w:szCs w:val="28"/>
                <w:highlight w:val="none"/>
                <w:lang w:val="en-US" w:eastAsia="zh-CN"/>
              </w:rPr>
            </w:pPr>
            <w:r>
              <w:rPr>
                <w:rFonts w:hint="eastAsia" w:ascii="仿宋_GB2312" w:hAnsi="Times New Roman" w:eastAsia="仿宋_GB2312" w:cs="仿宋_GB2312"/>
                <w:kern w:val="2"/>
                <w:sz w:val="28"/>
                <w:szCs w:val="20"/>
                <w:highlight w:val="none"/>
                <w:lang w:val="en-US" w:eastAsia="zh-CN" w:bidi="ar"/>
              </w:rPr>
              <w:t>福州市生态环境保护综合执法支队，福州市闽侯生态环境局，福建省福海环保股份有限公司。</w:t>
            </w:r>
          </w:p>
        </w:tc>
      </w:tr>
      <w:tr w14:paraId="3345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040" w:type="dxa"/>
            <w:gridSpan w:val="2"/>
            <w:tcBorders>
              <w:top w:val="single" w:color="auto" w:sz="4" w:space="0"/>
              <w:left w:val="nil"/>
              <w:bottom w:val="single" w:color="auto" w:sz="4" w:space="0"/>
              <w:right w:val="nil"/>
            </w:tcBorders>
            <w:shd w:val="clear" w:color="auto" w:fill="auto"/>
            <w:vAlign w:val="center"/>
          </w:tcPr>
          <w:p w14:paraId="388F6E0A">
            <w:pPr>
              <w:keepNext w:val="0"/>
              <w:keepLines w:val="0"/>
              <w:widowControl w:val="0"/>
              <w:suppressLineNumbers w:val="0"/>
              <w:tabs>
                <w:tab w:val="left" w:pos="3885"/>
              </w:tabs>
              <w:spacing w:before="0" w:beforeAutospacing="0" w:after="0" w:afterAutospacing="0"/>
              <w:ind w:left="0" w:right="0" w:firstLine="179" w:firstLineChars="64"/>
              <w:jc w:val="both"/>
              <w:rPr>
                <w:rFonts w:eastAsia="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福州市生态环境局</w:t>
            </w:r>
          </w:p>
        </w:tc>
        <w:tc>
          <w:tcPr>
            <w:tcW w:w="3675" w:type="dxa"/>
            <w:tcBorders>
              <w:top w:val="single" w:color="auto" w:sz="4" w:space="0"/>
              <w:left w:val="nil"/>
              <w:bottom w:val="single" w:color="auto" w:sz="4" w:space="0"/>
              <w:right w:val="nil"/>
            </w:tcBorders>
            <w:shd w:val="clear" w:color="auto" w:fill="auto"/>
            <w:vAlign w:val="center"/>
          </w:tcPr>
          <w:p w14:paraId="524964C2">
            <w:pPr>
              <w:keepNext w:val="0"/>
              <w:keepLines w:val="0"/>
              <w:widowControl w:val="0"/>
              <w:suppressLineNumbers w:val="0"/>
              <w:tabs>
                <w:tab w:val="left" w:pos="3882"/>
                <w:tab w:val="left" w:pos="3987"/>
              </w:tabs>
              <w:spacing w:before="0" w:beforeAutospacing="0" w:after="0" w:afterAutospacing="0"/>
              <w:ind w:left="0" w:right="311" w:rightChars="148"/>
              <w:jc w:val="right"/>
              <w:rPr>
                <w:rFonts w:eastAsia="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2025年7月29日印发</w:t>
            </w:r>
          </w:p>
        </w:tc>
      </w:tr>
    </w:tbl>
    <w:p w14:paraId="66BE84EB">
      <w:pPr>
        <w:rPr>
          <w:highlight w:val="none"/>
        </w:rPr>
      </w:pPr>
    </w:p>
    <w:sectPr>
      <w:footerReference r:id="rId3" w:type="default"/>
      <w:pgSz w:w="11906" w:h="16838"/>
      <w:pgMar w:top="1701" w:right="1587" w:bottom="1417"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1459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08037">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2F08037">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E5361"/>
    <w:multiLevelType w:val="singleLevel"/>
    <w:tmpl w:val="2B0E536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wMmU4YmM1MTQ3ZDUyOWQxMDA5OGU4MmQ5YTNiMDAifQ=="/>
  </w:docVars>
  <w:rsids>
    <w:rsidRoot w:val="2A7F762B"/>
    <w:rsid w:val="014F132C"/>
    <w:rsid w:val="01DD6FC1"/>
    <w:rsid w:val="0219705A"/>
    <w:rsid w:val="03CC5678"/>
    <w:rsid w:val="06CF3FDF"/>
    <w:rsid w:val="076B63F8"/>
    <w:rsid w:val="07B76A03"/>
    <w:rsid w:val="08877123"/>
    <w:rsid w:val="097912D2"/>
    <w:rsid w:val="0A0259D4"/>
    <w:rsid w:val="0A537496"/>
    <w:rsid w:val="0A7B2C42"/>
    <w:rsid w:val="0EBC0E2F"/>
    <w:rsid w:val="100F211B"/>
    <w:rsid w:val="11B15CE9"/>
    <w:rsid w:val="123E696C"/>
    <w:rsid w:val="12D0457D"/>
    <w:rsid w:val="1339568F"/>
    <w:rsid w:val="13941148"/>
    <w:rsid w:val="155C0219"/>
    <w:rsid w:val="15B63938"/>
    <w:rsid w:val="16C049E6"/>
    <w:rsid w:val="17376763"/>
    <w:rsid w:val="173A433D"/>
    <w:rsid w:val="17C02571"/>
    <w:rsid w:val="185C0C0F"/>
    <w:rsid w:val="196B1FA1"/>
    <w:rsid w:val="1A07082D"/>
    <w:rsid w:val="1A2D6D57"/>
    <w:rsid w:val="1DB55799"/>
    <w:rsid w:val="20835F2C"/>
    <w:rsid w:val="213F3844"/>
    <w:rsid w:val="219278A5"/>
    <w:rsid w:val="23D1267C"/>
    <w:rsid w:val="25B53634"/>
    <w:rsid w:val="264F7B2D"/>
    <w:rsid w:val="26F17F87"/>
    <w:rsid w:val="26FA4A88"/>
    <w:rsid w:val="28A86FC8"/>
    <w:rsid w:val="2A7F762B"/>
    <w:rsid w:val="2CAD0908"/>
    <w:rsid w:val="2D2F4B41"/>
    <w:rsid w:val="2DD736A3"/>
    <w:rsid w:val="2E214D74"/>
    <w:rsid w:val="2E831059"/>
    <w:rsid w:val="2F652F3C"/>
    <w:rsid w:val="31DF7D29"/>
    <w:rsid w:val="32432891"/>
    <w:rsid w:val="32781451"/>
    <w:rsid w:val="33B4282D"/>
    <w:rsid w:val="344B15E7"/>
    <w:rsid w:val="34565CE1"/>
    <w:rsid w:val="34B92A27"/>
    <w:rsid w:val="379F27DC"/>
    <w:rsid w:val="38FC70C7"/>
    <w:rsid w:val="396A64FB"/>
    <w:rsid w:val="3B7B6102"/>
    <w:rsid w:val="3C461732"/>
    <w:rsid w:val="3D3048B4"/>
    <w:rsid w:val="3DB945F5"/>
    <w:rsid w:val="402C102B"/>
    <w:rsid w:val="407707ED"/>
    <w:rsid w:val="4152035B"/>
    <w:rsid w:val="438B4B5B"/>
    <w:rsid w:val="43CA10AF"/>
    <w:rsid w:val="45314B84"/>
    <w:rsid w:val="47C411B6"/>
    <w:rsid w:val="49203E9F"/>
    <w:rsid w:val="49641AB4"/>
    <w:rsid w:val="4A69668E"/>
    <w:rsid w:val="4A810DC1"/>
    <w:rsid w:val="4B456184"/>
    <w:rsid w:val="4B997BD4"/>
    <w:rsid w:val="4BC03622"/>
    <w:rsid w:val="4CD339FE"/>
    <w:rsid w:val="4DB67CDD"/>
    <w:rsid w:val="4E576091"/>
    <w:rsid w:val="5328504E"/>
    <w:rsid w:val="545C3B2A"/>
    <w:rsid w:val="556F6A7A"/>
    <w:rsid w:val="56D6723A"/>
    <w:rsid w:val="56DD30D8"/>
    <w:rsid w:val="56FA33C7"/>
    <w:rsid w:val="570F789F"/>
    <w:rsid w:val="5773682D"/>
    <w:rsid w:val="59790483"/>
    <w:rsid w:val="5AB30E80"/>
    <w:rsid w:val="5D8466D6"/>
    <w:rsid w:val="5E49718B"/>
    <w:rsid w:val="5F775926"/>
    <w:rsid w:val="610D1793"/>
    <w:rsid w:val="61464082"/>
    <w:rsid w:val="61AC3705"/>
    <w:rsid w:val="61BD2347"/>
    <w:rsid w:val="635B63B9"/>
    <w:rsid w:val="63F11B0C"/>
    <w:rsid w:val="658D6D8D"/>
    <w:rsid w:val="674F436D"/>
    <w:rsid w:val="676676DF"/>
    <w:rsid w:val="68D109FB"/>
    <w:rsid w:val="69AA484A"/>
    <w:rsid w:val="6C2A2F12"/>
    <w:rsid w:val="6C524909"/>
    <w:rsid w:val="6CA5599E"/>
    <w:rsid w:val="6D0A06B5"/>
    <w:rsid w:val="6D8945FB"/>
    <w:rsid w:val="6E6E2E44"/>
    <w:rsid w:val="6F460731"/>
    <w:rsid w:val="731146F1"/>
    <w:rsid w:val="73F3130E"/>
    <w:rsid w:val="749C56FE"/>
    <w:rsid w:val="75053496"/>
    <w:rsid w:val="75F77103"/>
    <w:rsid w:val="76CA152F"/>
    <w:rsid w:val="783B4C00"/>
    <w:rsid w:val="7BBE7194"/>
    <w:rsid w:val="7C031292"/>
    <w:rsid w:val="7C145F64"/>
    <w:rsid w:val="7CC80452"/>
    <w:rsid w:val="7CDA4005"/>
    <w:rsid w:val="7F57538B"/>
    <w:rsid w:val="7FA07A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unhideWhenUsed/>
    <w:qFormat/>
    <w:uiPriority w:val="0"/>
    <w:pPr>
      <w:spacing w:after="120"/>
      <w:ind w:left="420" w:leftChars="200"/>
    </w:pPr>
  </w:style>
  <w:style w:type="paragraph" w:styleId="5">
    <w:name w:val="Date"/>
    <w:basedOn w:val="1"/>
    <w:next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楷体_GB2312" w:cs="Times New Roman"/>
      <w:kern w:val="2"/>
      <w:sz w:val="32"/>
      <w:szCs w:val="20"/>
      <w:lang w:val="en-US" w:eastAsia="zh-CN" w:bidi="ar"/>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4"/>
    <w:qFormat/>
    <w:uiPriority w:val="0"/>
    <w:pPr>
      <w:spacing w:after="0" w:line="420" w:lineRule="exact"/>
      <w:ind w:left="0" w:leftChars="0" w:firstLine="420"/>
    </w:pPr>
    <w:rPr>
      <w:rFonts w:ascii="仿宋_GB2312" w:eastAsia="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character" w:customStyle="1" w:styleId="13">
    <w:name w:val="5文章(治) Char"/>
    <w:basedOn w:val="11"/>
    <w:qFormat/>
    <w:uiPriority w:val="0"/>
    <w:rPr>
      <w:rFonts w:hint="eastAsia" w:ascii="楷体_GB2312" w:eastAsia="楷体_GB2312" w:cs="楷体_GB2312"/>
      <w:kern w:val="2"/>
      <w:sz w:val="28"/>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1264</Words>
  <Characters>1307</Characters>
  <Lines>0</Lines>
  <Paragraphs>0</Paragraphs>
  <TotalTime>50</TotalTime>
  <ScaleCrop>false</ScaleCrop>
  <LinksUpToDate>false</LinksUpToDate>
  <CharactersWithSpaces>1307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2016-03-09T02:21:00Z</dcterms:created>
  <dc:creator>Yuri</dc:creator>
  <cp:lastModifiedBy>月见函灯</cp:lastModifiedBy>
  <cp:lastPrinted>2025-07-29T08:52:00Z</cp:lastPrinted>
  <dcterms:modified xsi:type="dcterms:W3CDTF">2025-07-30T08:39:14Z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07A162A2473042D587B95B9EDB6B78DC_12</vt:lpwstr>
  </property>
  <property fmtid="{D5CDD505-2E9C-101B-9397-08002B2CF9AE}" pid="4" name="KSOTemplateDocerSaveRecord">
    <vt:lpwstr>eyJoZGlkIjoiMDkxNDM5NTI3YTI2MzU0NTA3MzliODM2N2FlYTc2NjYiLCJ1c2VySWQiOiI0MjM3NjMwNzUifQ==</vt:lpwstr>
  </property>
</Properties>
</file>