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C6186">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Autospacing="0" w:line="240" w:lineRule="auto"/>
        <w:ind w:left="0" w:leftChars="0" w:right="250" w:rightChars="119" w:firstLine="0" w:firstLineChars="0"/>
        <w:jc w:val="right"/>
        <w:textAlignment w:val="auto"/>
        <w:outlineLvl w:val="9"/>
        <w:rPr>
          <w:rFonts w:hint="eastAsia" w:ascii="仿宋" w:hAnsi="仿宋" w:eastAsia="仿宋" w:cs="仿宋"/>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榕环评〔2025〕31号</w:t>
      </w:r>
    </w:p>
    <w:p w14:paraId="0CA5B34F">
      <w:pPr>
        <w:keepNext w:val="0"/>
        <w:keepLines w:val="0"/>
        <w:pageBreakBefore w:val="0"/>
        <w:widowControl w:val="0"/>
        <w:suppressLineNumbers w:val="0"/>
        <w:kinsoku/>
        <w:wordWrap/>
        <w:overflowPunct/>
        <w:topLinePunct w:val="0"/>
        <w:autoSpaceDE/>
        <w:autoSpaceDN/>
        <w:bidi w:val="0"/>
        <w:adjustRightInd/>
        <w:snapToGrid w:val="0"/>
        <w:spacing w:before="800" w:beforeAutospacing="0" w:after="0" w:afterAutospacing="0" w:line="520" w:lineRule="exact"/>
        <w:ind w:left="0" w:right="0"/>
        <w:jc w:val="center"/>
        <w:textAlignment w:val="auto"/>
        <w:rPr>
          <w:rFonts w:hint="eastAsia"/>
          <w:color w:val="auto"/>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福州市生态环境局关于闽清县城区污水处理厂扩容工程环境影响报告表的审批意见</w:t>
      </w:r>
    </w:p>
    <w:p w14:paraId="73DD7A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jc w:val="both"/>
        <w:textAlignment w:val="auto"/>
        <w:rPr>
          <w:rFonts w:hint="eastAsia" w:ascii="仿宋_GB2312" w:hAnsi="Times New Roman" w:eastAsia="仿宋_GB2312" w:cs="仿宋_GB2312"/>
          <w:color w:val="auto"/>
          <w:kern w:val="2"/>
          <w:sz w:val="32"/>
          <w:szCs w:val="32"/>
          <w:highlight w:val="none"/>
          <w:lang w:val="en-US" w:eastAsia="zh-CN" w:bidi="ar"/>
        </w:rPr>
      </w:pPr>
    </w:p>
    <w:p w14:paraId="01A2F1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jc w:val="both"/>
        <w:textAlignment w:val="auto"/>
        <w:rPr>
          <w:rFonts w:hint="eastAsia" w:ascii="仿宋_GB2312" w:eastAsia="仿宋_GB2312" w:cs="仿宋_GB2312"/>
          <w:color w:val="auto"/>
          <w:sz w:val="32"/>
          <w:szCs w:val="32"/>
          <w:highlight w:val="none"/>
          <w:lang w:val="en-US"/>
        </w:rPr>
      </w:pPr>
      <w:r>
        <w:rPr>
          <w:rFonts w:hint="eastAsia" w:ascii="仿宋_GB2312" w:hAnsi="Times New Roman" w:eastAsia="仿宋_GB2312" w:cs="仿宋_GB2312"/>
          <w:color w:val="auto"/>
          <w:kern w:val="2"/>
          <w:sz w:val="32"/>
          <w:szCs w:val="32"/>
          <w:highlight w:val="none"/>
          <w:lang w:val="en-US" w:eastAsia="zh-CN" w:bidi="ar"/>
        </w:rPr>
        <w:t>闽清北美环保有限公司：</w:t>
      </w:r>
    </w:p>
    <w:p w14:paraId="56EBD3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仿宋_GB2312"/>
          <w:color w:val="auto"/>
          <w:kern w:val="2"/>
          <w:sz w:val="32"/>
          <w:szCs w:val="32"/>
          <w:highlight w:val="none"/>
          <w:lang w:val="en-US" w:eastAsia="zh-CN" w:bidi="ar"/>
        </w:rPr>
      </w:pPr>
      <w:r>
        <w:rPr>
          <w:rFonts w:hint="eastAsia" w:ascii="仿宋_GB2312" w:hAnsi="Times New Roman" w:eastAsia="仿宋_GB2312" w:cs="仿宋_GB2312"/>
          <w:color w:val="auto"/>
          <w:kern w:val="2"/>
          <w:sz w:val="32"/>
          <w:szCs w:val="32"/>
          <w:highlight w:val="none"/>
          <w:lang w:val="en-US" w:eastAsia="zh-CN" w:bidi="ar"/>
        </w:rPr>
        <w:t>你司报送的《闽清县城区污水处理厂扩容工程环境影响报告表》(以下简称《报告表》)收悉。根据《中华人民共和国环境影响评价法》第22条等规定，并征求福州市闽清</w:t>
      </w:r>
      <w:bookmarkStart w:id="0" w:name="_GoBack"/>
      <w:bookmarkEnd w:id="0"/>
      <w:r>
        <w:rPr>
          <w:rFonts w:hint="eastAsia" w:ascii="仿宋_GB2312" w:hAnsi="Times New Roman" w:eastAsia="仿宋_GB2312" w:cs="仿宋_GB2312"/>
          <w:color w:val="auto"/>
          <w:kern w:val="2"/>
          <w:sz w:val="32"/>
          <w:szCs w:val="32"/>
          <w:highlight w:val="none"/>
          <w:lang w:val="en-US" w:eastAsia="zh-CN" w:bidi="ar"/>
        </w:rPr>
        <w:t>生态环境局意见，现提出审批意见如下：</w:t>
      </w:r>
    </w:p>
    <w:p w14:paraId="204A1DF2">
      <w:pPr>
        <w:pStyle w:val="1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一、福州市闽清县城区污水处理厂扩容工程项目位于闽清县梅城镇城关村六斤园，福州市闽清县城区污水处理厂规划红线范围内。主要内容包括原有单体及设备改造、附属工程改造及</w:t>
      </w:r>
      <w:r>
        <w:rPr>
          <w:rFonts w:hint="eastAsia" w:ascii="仿宋_GB2312" w:hAnsi="仿宋_GB2312" w:eastAsia="仿宋_GB2312" w:cs="仿宋_GB2312"/>
          <w:color w:val="auto"/>
          <w:kern w:val="0"/>
          <w:sz w:val="32"/>
          <w:szCs w:val="32"/>
          <w:highlight w:val="none"/>
          <w:lang w:val="en-US" w:eastAsia="zh-CN" w:bidi="ar"/>
        </w:rPr>
        <w:t>新建工程。其中，单体及设备改造</w:t>
      </w:r>
      <w:r>
        <w:rPr>
          <w:rFonts w:hint="eastAsia" w:ascii="仿宋_GB2312" w:hAnsi="仿宋_GB2312" w:eastAsia="仿宋_GB2312" w:cs="仿宋_GB2312"/>
          <w:color w:val="auto"/>
          <w:sz w:val="32"/>
          <w:szCs w:val="32"/>
          <w:highlight w:val="none"/>
          <w:lang w:val="en-US" w:eastAsia="zh-CN"/>
        </w:rPr>
        <w:t>：粗格栅及提升泵房、氧化沟、提升泵井、污泥泵井、排水泵井等单体及设备的改造；附属工程改造：新建鼓风机房、新增加药系统、变配电系统改造、总图工程（包含厂区绿化、综合管线、道路等）；</w:t>
      </w:r>
      <w:r>
        <w:rPr>
          <w:rFonts w:hint="eastAsia" w:ascii="仿宋_GB2312" w:hAnsi="仿宋_GB2312" w:eastAsia="仿宋_GB2312" w:cs="仿宋_GB2312"/>
          <w:color w:val="auto"/>
          <w:kern w:val="0"/>
          <w:sz w:val="32"/>
          <w:szCs w:val="32"/>
          <w:highlight w:val="none"/>
          <w:lang w:val="en-US" w:eastAsia="zh-CN" w:bidi="ar"/>
        </w:rPr>
        <w:t>新建工程</w:t>
      </w:r>
      <w:r>
        <w:rPr>
          <w:rFonts w:hint="eastAsia" w:ascii="仿宋_GB2312" w:eastAsia="仿宋_GB2312" w:cs="宋体"/>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一座10000m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/d的细格栅及旋流沉砂池1座、1套20000m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/d规模的模块化超高速滤池1套、1座20000m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/d规模的接触消毒池1座</w:t>
      </w:r>
      <w:r>
        <w:rPr>
          <w:rFonts w:hint="eastAsia" w:ascii="仿宋_GB2312" w:hAnsi="Times New Roman" w:eastAsia="仿宋_GB2312" w:cs="宋体"/>
          <w:color w:val="auto"/>
          <w:kern w:val="0"/>
          <w:sz w:val="32"/>
          <w:szCs w:val="32"/>
          <w:highlight w:val="none"/>
          <w:lang w:val="en-US" w:eastAsia="zh-CN" w:bidi="ar"/>
        </w:rPr>
        <w:t>。建设规模：日处理能力新增1万m</w:t>
      </w:r>
      <w:r>
        <w:rPr>
          <w:rFonts w:hint="eastAsia" w:ascii="仿宋_GB2312" w:hAnsi="Times New Roman" w:eastAsia="仿宋_GB2312" w:cs="宋体"/>
          <w:color w:val="auto"/>
          <w:kern w:val="0"/>
          <w:sz w:val="32"/>
          <w:szCs w:val="32"/>
          <w:highlight w:val="none"/>
          <w:vertAlign w:val="superscript"/>
          <w:lang w:val="en-US" w:eastAsia="zh-CN" w:bidi="ar"/>
        </w:rPr>
        <w:t>3</w:t>
      </w:r>
      <w:r>
        <w:rPr>
          <w:rFonts w:hint="eastAsia" w:ascii="仿宋_GB2312" w:hAnsi="Times New Roman" w:eastAsia="仿宋_GB2312" w:cs="宋体"/>
          <w:color w:val="auto"/>
          <w:kern w:val="0"/>
          <w:sz w:val="32"/>
          <w:szCs w:val="32"/>
          <w:highlight w:val="none"/>
          <w:lang w:val="en-US" w:eastAsia="zh-CN" w:bidi="ar"/>
        </w:rPr>
        <w:t>污水处理能力，建成后污水处理厂日处理能力达到2万m</w:t>
      </w:r>
      <w:r>
        <w:rPr>
          <w:rFonts w:hint="eastAsia" w:ascii="仿宋_GB2312" w:hAnsi="Times New Roman" w:eastAsia="仿宋_GB2312" w:cs="宋体"/>
          <w:color w:val="auto"/>
          <w:kern w:val="0"/>
          <w:sz w:val="32"/>
          <w:szCs w:val="32"/>
          <w:highlight w:val="none"/>
          <w:vertAlign w:val="superscript"/>
          <w:lang w:val="en-US" w:eastAsia="zh-CN" w:bidi="ar"/>
        </w:rPr>
        <w:t>3</w:t>
      </w:r>
      <w:r>
        <w:rPr>
          <w:rFonts w:hint="eastAsia" w:ascii="仿宋_GB2312" w:hAnsi="Times New Roman" w:eastAsia="仿宋_GB2312" w:cs="宋体"/>
          <w:color w:val="auto"/>
          <w:kern w:val="0"/>
          <w:sz w:val="32"/>
          <w:szCs w:val="32"/>
          <w:highlight w:val="none"/>
          <w:lang w:val="en-US" w:eastAsia="zh-CN" w:bidi="ar"/>
        </w:rPr>
        <w:t>。</w:t>
      </w:r>
    </w:p>
    <w:p w14:paraId="1DA5DF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根据《报告表》评价结论，该项目建设符合生态环境保护相关法律法规和政策，符合生态环境分区管控要求，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7C225ED9">
      <w:pPr>
        <w:keepNext w:val="0"/>
        <w:keepLines w:val="0"/>
        <w:widowControl w:val="0"/>
        <w:numPr>
          <w:ilvl w:val="0"/>
          <w:numId w:val="1"/>
        </w:numPr>
        <w:suppressLineNumbers w:val="0"/>
        <w:snapToGrid w:val="0"/>
        <w:spacing w:before="0" w:beforeAutospacing="0" w:after="0" w:afterAutospacing="0" w:line="500" w:lineRule="atLeast"/>
        <w:ind w:left="0" w:right="0" w:firstLine="624" w:firstLineChars="195"/>
        <w:jc w:val="both"/>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项目在施工和运营中应认真落实《报告表》提出的各项环境保护措施，并重点做好以下工作：</w:t>
      </w:r>
    </w:p>
    <w:p w14:paraId="1DD66D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（一）大气污染防治。施工期应加强环境管理，减少施工扬尘的影响。运营期</w:t>
      </w:r>
      <w:r>
        <w:rPr>
          <w:rFonts w:hint="default" w:ascii="仿宋_GB2312" w:hAnsi="Times New Roman" w:eastAsia="仿宋_GB2312" w:cs="宋体"/>
          <w:color w:val="auto"/>
          <w:kern w:val="0"/>
          <w:sz w:val="32"/>
          <w:szCs w:val="32"/>
          <w:highlight w:val="none"/>
          <w:lang w:val="en-US" w:eastAsia="zh-CN" w:bidi="ar"/>
        </w:rPr>
        <w:t>格栅及进水泵房、细旋流沉砂池、污泥泵井、污泥浓缩池、生化池</w:t>
      </w:r>
      <w:r>
        <w:rPr>
          <w:rFonts w:hint="eastAsia" w:ascii="仿宋_GB2312" w:hAnsi="Times New Roman" w:eastAsia="仿宋_GB2312" w:cs="宋体"/>
          <w:color w:val="auto"/>
          <w:kern w:val="0"/>
          <w:sz w:val="32"/>
          <w:szCs w:val="32"/>
          <w:highlight w:val="none"/>
          <w:lang w:val="en-US" w:eastAsia="zh-CN" w:bidi="ar"/>
        </w:rPr>
        <w:t>、</w:t>
      </w:r>
      <w:r>
        <w:rPr>
          <w:rFonts w:hint="default" w:ascii="仿宋_GB2312" w:hAnsi="Times New Roman" w:eastAsia="仿宋_GB2312" w:cs="宋体"/>
          <w:color w:val="auto"/>
          <w:kern w:val="0"/>
          <w:sz w:val="32"/>
          <w:szCs w:val="32"/>
          <w:highlight w:val="none"/>
          <w:lang w:val="en-US" w:eastAsia="zh-CN" w:bidi="ar"/>
        </w:rPr>
        <w:t>污泥脱水干化机房</w:t>
      </w:r>
      <w:r>
        <w:rPr>
          <w:rFonts w:hint="eastAsia" w:ascii="仿宋_GB2312" w:hAnsi="Times New Roman" w:eastAsia="仿宋_GB2312" w:cs="宋体"/>
          <w:color w:val="auto"/>
          <w:kern w:val="0"/>
          <w:sz w:val="32"/>
          <w:szCs w:val="32"/>
          <w:highlight w:val="none"/>
          <w:lang w:val="en-US" w:eastAsia="zh-CN" w:bidi="ar"/>
        </w:rPr>
        <w:t>等产生的恶臭污染物依托现有生物除臭装置</w:t>
      </w:r>
      <w:r>
        <w:rPr>
          <w:rFonts w:hint="default" w:ascii="仿宋_GB2312" w:hAnsi="Times New Roman" w:eastAsia="仿宋_GB2312" w:cs="宋体"/>
          <w:color w:val="auto"/>
          <w:kern w:val="0"/>
          <w:sz w:val="32"/>
          <w:szCs w:val="32"/>
          <w:highlight w:val="none"/>
          <w:lang w:val="en-US" w:eastAsia="zh-CN" w:bidi="ar"/>
        </w:rPr>
        <w:t>收集</w:t>
      </w:r>
      <w:r>
        <w:rPr>
          <w:rFonts w:hint="eastAsia" w:ascii="仿宋_GB2312" w:hAnsi="Times New Roman" w:eastAsia="仿宋_GB2312" w:cs="宋体"/>
          <w:color w:val="auto"/>
          <w:kern w:val="0"/>
          <w:sz w:val="32"/>
          <w:szCs w:val="32"/>
          <w:highlight w:val="none"/>
          <w:lang w:val="en-US" w:eastAsia="zh-CN" w:bidi="ar"/>
        </w:rPr>
        <w:t>并</w:t>
      </w:r>
      <w:r>
        <w:rPr>
          <w:rFonts w:hint="default" w:ascii="仿宋_GB2312" w:hAnsi="Times New Roman" w:eastAsia="仿宋_GB2312" w:cs="宋体"/>
          <w:color w:val="auto"/>
          <w:kern w:val="0"/>
          <w:sz w:val="32"/>
          <w:szCs w:val="32"/>
          <w:highlight w:val="none"/>
          <w:lang w:val="en-US" w:eastAsia="zh-CN" w:bidi="ar"/>
        </w:rPr>
        <w:t>处理</w:t>
      </w:r>
      <w:r>
        <w:rPr>
          <w:rFonts w:hint="eastAsia" w:ascii="仿宋_GB2312" w:hAnsi="Times New Roman" w:eastAsia="仿宋_GB2312" w:cs="宋体"/>
          <w:color w:val="auto"/>
          <w:kern w:val="0"/>
          <w:sz w:val="32"/>
          <w:szCs w:val="32"/>
          <w:highlight w:val="none"/>
          <w:lang w:val="en-US" w:eastAsia="zh-CN" w:bidi="ar"/>
        </w:rPr>
        <w:t>达标后经</w:t>
      </w:r>
      <w:r>
        <w:rPr>
          <w:rFonts w:hint="default" w:ascii="仿宋_GB2312" w:hAnsi="Times New Roman" w:eastAsia="仿宋_GB2312" w:cs="宋体"/>
          <w:color w:val="auto"/>
          <w:kern w:val="0"/>
          <w:sz w:val="32"/>
          <w:szCs w:val="32"/>
          <w:highlight w:val="none"/>
          <w:lang w:val="en-US" w:eastAsia="zh-CN" w:bidi="ar"/>
        </w:rPr>
        <w:t>15m高排气</w:t>
      </w:r>
      <w:r>
        <w:rPr>
          <w:rFonts w:hint="eastAsia" w:ascii="仿宋_GB2312" w:hAnsi="Times New Roman" w:eastAsia="仿宋_GB2312" w:cs="宋体"/>
          <w:color w:val="auto"/>
          <w:kern w:val="0"/>
          <w:sz w:val="32"/>
          <w:szCs w:val="32"/>
          <w:highlight w:val="none"/>
          <w:lang w:val="en-US" w:eastAsia="zh-CN" w:bidi="ar"/>
        </w:rPr>
        <w:t>筒</w:t>
      </w:r>
      <w:r>
        <w:rPr>
          <w:rFonts w:hint="default" w:ascii="仿宋_GB2312" w:hAnsi="Times New Roman" w:eastAsia="仿宋_GB2312" w:cs="宋体"/>
          <w:color w:val="auto"/>
          <w:kern w:val="0"/>
          <w:sz w:val="32"/>
          <w:szCs w:val="32"/>
          <w:highlight w:val="none"/>
          <w:lang w:val="en-US" w:eastAsia="zh-CN" w:bidi="ar"/>
        </w:rPr>
        <w:t>排放。</w:t>
      </w:r>
      <w:r>
        <w:rPr>
          <w:rFonts w:hint="eastAsia" w:ascii="仿宋_GB2312" w:hAnsi="Times New Roman" w:eastAsia="仿宋_GB2312" w:cs="宋体"/>
          <w:color w:val="auto"/>
          <w:kern w:val="0"/>
          <w:sz w:val="32"/>
          <w:szCs w:val="32"/>
          <w:highlight w:val="none"/>
          <w:lang w:val="en-US" w:eastAsia="zh-CN" w:bidi="ar"/>
        </w:rPr>
        <w:t>恶臭污染物有组织排放执行《恶臭污染物排放标准》(GB14554-93)表2标准排放限值，无组织排放执行《城镇污水处理厂污染物排放标准》(GB18918-2002)表4二级标准排放限值。</w:t>
      </w:r>
    </w:p>
    <w:p w14:paraId="0786C9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二）水污染防治。项目应采用先进可靠的水处理工艺，尾水处理达到《城镇污水处理厂污染物排放标准》(GB18918-2002)及其修改单中一级A标准要求后，排入梅溪。要求排放口应按规范设置，安装流量、水温、pH、COD、氨氮、TP、TN在线监控设施，并与生态环境部门联网。</w:t>
      </w:r>
    </w:p>
    <w:p w14:paraId="0B33BF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根据《报告表》评价结论，项目环境防护距离</w:t>
      </w:r>
      <w:r>
        <w:rPr>
          <w:rFonts w:hint="eastAsia" w:ascii="仿宋_GB2312" w:hAnsi="Times New Roman" w:eastAsia="仿宋_GB2312" w:cs="宋体"/>
          <w:b w:val="0"/>
          <w:bCs w:val="0"/>
          <w:color w:val="auto"/>
          <w:kern w:val="0"/>
          <w:sz w:val="32"/>
          <w:szCs w:val="32"/>
          <w:highlight w:val="none"/>
          <w:vertAlign w:val="baseline"/>
          <w:lang w:val="en-US" w:eastAsia="zh-CN" w:bidi="ar"/>
        </w:rPr>
        <w:t>为A</w:t>
      </w:r>
      <w:r>
        <w:rPr>
          <w:rFonts w:hint="eastAsia" w:ascii="仿宋_GB2312" w:hAnsi="Times New Roman" w:eastAsia="仿宋_GB2312" w:cs="宋体"/>
          <w:b w:val="0"/>
          <w:bCs w:val="0"/>
          <w:color w:val="auto"/>
          <w:kern w:val="0"/>
          <w:sz w:val="32"/>
          <w:szCs w:val="32"/>
          <w:highlight w:val="none"/>
          <w:vertAlign w:val="superscript"/>
          <w:lang w:val="en-US" w:eastAsia="zh-CN" w:bidi="ar"/>
        </w:rPr>
        <w:t>2</w:t>
      </w:r>
      <w:r>
        <w:rPr>
          <w:rFonts w:hint="eastAsia" w:ascii="仿宋_GB2312" w:hAnsi="Times New Roman" w:eastAsia="仿宋_GB2312" w:cs="宋体"/>
          <w:b w:val="0"/>
          <w:bCs w:val="0"/>
          <w:color w:val="auto"/>
          <w:kern w:val="0"/>
          <w:sz w:val="32"/>
          <w:szCs w:val="32"/>
          <w:highlight w:val="none"/>
          <w:vertAlign w:val="baseline"/>
          <w:lang w:val="en-US" w:eastAsia="zh-CN" w:bidi="ar"/>
        </w:rPr>
        <w:t>O-MBBR池好氧区及其它装置区边界外50米范围</w:t>
      </w:r>
      <w:r>
        <w:rPr>
          <w:rFonts w:hint="eastAsia" w:ascii="仿宋_GB2312" w:hAnsi="Times New Roman" w:eastAsia="仿宋_GB2312" w:cs="宋体"/>
          <w:color w:val="auto"/>
          <w:kern w:val="0"/>
          <w:sz w:val="32"/>
          <w:szCs w:val="32"/>
          <w:highlight w:val="none"/>
          <w:lang w:val="en-US" w:eastAsia="zh-CN" w:bidi="ar"/>
        </w:rPr>
        <w:t>，在此环境防护范围内不得有居民区、学校、医院等环境敏感目标。你司应将环境防护距离控制要求及时报告当地政府和建设规划部门，并配合做好规划用地控制工作。</w:t>
      </w:r>
    </w:p>
    <w:p w14:paraId="285711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（三）优先选用低噪声设备，对高噪声污染源采取减振、隔声、降噪措施，</w:t>
      </w:r>
      <w:r>
        <w:rPr>
          <w:rFonts w:hint="default" w:ascii="仿宋_GB2312" w:hAnsi="Times New Roman" w:eastAsia="仿宋_GB2312" w:cs="宋体"/>
          <w:color w:val="auto"/>
          <w:kern w:val="0"/>
          <w:sz w:val="32"/>
          <w:szCs w:val="32"/>
          <w:highlight w:val="none"/>
          <w:lang w:val="en-US" w:eastAsia="zh-CN" w:bidi="ar"/>
        </w:rPr>
        <w:t>施工期噪声执行《建筑施工场界环境噪声排放标准》</w:t>
      </w:r>
      <w:r>
        <w:rPr>
          <w:rFonts w:hint="eastAsia" w:ascii="仿宋_GB2312" w:hAnsi="Times New Roman" w:eastAsia="仿宋_GB2312" w:cs="宋体"/>
          <w:color w:val="auto"/>
          <w:kern w:val="0"/>
          <w:sz w:val="32"/>
          <w:szCs w:val="32"/>
          <w:highlight w:val="none"/>
          <w:lang w:val="en-US" w:eastAsia="zh-CN" w:bidi="ar"/>
        </w:rPr>
        <w:t>（</w:t>
      </w:r>
      <w:r>
        <w:rPr>
          <w:rFonts w:hint="default" w:ascii="仿宋_GB2312" w:hAnsi="Times New Roman" w:eastAsia="仿宋_GB2312" w:cs="宋体"/>
          <w:color w:val="auto"/>
          <w:kern w:val="0"/>
          <w:sz w:val="32"/>
          <w:szCs w:val="32"/>
          <w:highlight w:val="none"/>
          <w:lang w:val="en-US" w:eastAsia="zh-CN" w:bidi="ar"/>
        </w:rPr>
        <w:t>GB12523-2011</w:t>
      </w:r>
      <w:r>
        <w:rPr>
          <w:rFonts w:hint="eastAsia" w:ascii="仿宋_GB2312" w:hAnsi="Times New Roman" w:eastAsia="仿宋_GB2312" w:cs="宋体"/>
          <w:color w:val="auto"/>
          <w:kern w:val="0"/>
          <w:sz w:val="32"/>
          <w:szCs w:val="32"/>
          <w:highlight w:val="none"/>
          <w:lang w:val="en-US" w:eastAsia="zh-CN" w:bidi="ar"/>
        </w:rPr>
        <w:t>）</w:t>
      </w:r>
      <w:r>
        <w:rPr>
          <w:rFonts w:hint="default" w:ascii="仿宋_GB2312" w:hAnsi="Times New Roman" w:eastAsia="仿宋_GB2312" w:cs="宋体"/>
          <w:color w:val="auto"/>
          <w:kern w:val="0"/>
          <w:sz w:val="32"/>
          <w:szCs w:val="32"/>
          <w:highlight w:val="none"/>
          <w:lang w:val="en-US" w:eastAsia="zh-CN" w:bidi="ar"/>
        </w:rPr>
        <w:t>的表1噪声排放限值。运营期厂界噪声执行《工业企业厂界环境噪声排放标准》</w:t>
      </w:r>
      <w:r>
        <w:rPr>
          <w:rFonts w:hint="eastAsia" w:ascii="仿宋_GB2312" w:hAnsi="Times New Roman" w:eastAsia="仿宋_GB2312" w:cs="宋体"/>
          <w:color w:val="auto"/>
          <w:kern w:val="0"/>
          <w:sz w:val="32"/>
          <w:szCs w:val="32"/>
          <w:highlight w:val="none"/>
          <w:lang w:val="en-US" w:eastAsia="zh-CN" w:bidi="ar"/>
        </w:rPr>
        <w:t>（</w:t>
      </w:r>
      <w:r>
        <w:rPr>
          <w:rFonts w:hint="default" w:ascii="仿宋_GB2312" w:hAnsi="Times New Roman" w:eastAsia="仿宋_GB2312" w:cs="宋体"/>
          <w:color w:val="auto"/>
          <w:kern w:val="0"/>
          <w:sz w:val="32"/>
          <w:szCs w:val="32"/>
          <w:highlight w:val="none"/>
          <w:lang w:val="en-US" w:eastAsia="zh-CN" w:bidi="ar"/>
        </w:rPr>
        <w:t>GB12348-2008</w:t>
      </w:r>
      <w:r>
        <w:rPr>
          <w:rFonts w:hint="eastAsia" w:ascii="仿宋_GB2312" w:hAnsi="Times New Roman" w:eastAsia="仿宋_GB2312" w:cs="宋体"/>
          <w:color w:val="auto"/>
          <w:kern w:val="0"/>
          <w:sz w:val="32"/>
          <w:szCs w:val="32"/>
          <w:highlight w:val="none"/>
          <w:lang w:val="en-US" w:eastAsia="zh-CN" w:bidi="ar"/>
        </w:rPr>
        <w:t>）</w:t>
      </w:r>
      <w:r>
        <w:rPr>
          <w:rFonts w:hint="default" w:ascii="仿宋_GB2312" w:hAnsi="Times New Roman" w:eastAsia="仿宋_GB2312" w:cs="宋体"/>
          <w:color w:val="auto"/>
          <w:kern w:val="0"/>
          <w:sz w:val="32"/>
          <w:szCs w:val="32"/>
          <w:highlight w:val="none"/>
          <w:lang w:val="en-US" w:eastAsia="zh-CN" w:bidi="ar"/>
        </w:rPr>
        <w:t>中表1</w:t>
      </w:r>
      <w:r>
        <w:rPr>
          <w:rFonts w:hint="eastAsia" w:ascii="仿宋_GB2312" w:hAnsi="Times New Roman" w:eastAsia="仿宋_GB2312" w:cs="宋体"/>
          <w:color w:val="auto"/>
          <w:kern w:val="0"/>
          <w:sz w:val="32"/>
          <w:szCs w:val="32"/>
          <w:highlight w:val="none"/>
          <w:lang w:val="en-US" w:eastAsia="zh-CN" w:bidi="ar"/>
        </w:rPr>
        <w:t>中</w:t>
      </w:r>
      <w:r>
        <w:rPr>
          <w:rFonts w:hint="default" w:ascii="仿宋_GB2312" w:hAnsi="Times New Roman" w:eastAsia="仿宋_GB2312" w:cs="宋体"/>
          <w:color w:val="auto"/>
          <w:kern w:val="0"/>
          <w:sz w:val="32"/>
          <w:szCs w:val="32"/>
          <w:highlight w:val="none"/>
          <w:lang w:val="en-US" w:eastAsia="zh-CN" w:bidi="ar"/>
        </w:rPr>
        <w:t>2类排放限值。</w:t>
      </w:r>
    </w:p>
    <w:p w14:paraId="1411D5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四）固废污染防治。实验室废液、废机油等危险废物分类暂存于厂区已建危险废物暂存间内，并委托有资质单位收集处置。危险废物贮存执行《危险废物贮存污染控制标准》（GB18597-2023）要求，转移管理执行《危险废物转移管理办法》（部令第23号）相关规定</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val="0"/>
          <w:color w:val="auto"/>
          <w:sz w:val="32"/>
          <w:szCs w:val="32"/>
          <w:highlight w:val="none"/>
          <w:vertAlign w:val="baseline"/>
          <w:lang w:val="en-US" w:eastAsia="zh-CN"/>
        </w:rPr>
        <w:t>栅渣、沉砂等</w:t>
      </w:r>
      <w:r>
        <w:rPr>
          <w:rFonts w:hint="eastAsia" w:ascii="仿宋_GB2312" w:hAnsi="仿宋_GB2312" w:eastAsia="仿宋_GB2312" w:cs="仿宋_GB2312"/>
          <w:color w:val="auto"/>
          <w:kern w:val="0"/>
          <w:sz w:val="32"/>
          <w:szCs w:val="32"/>
          <w:highlight w:val="none"/>
          <w:lang w:val="en-US" w:eastAsia="zh-CN" w:bidi="ar"/>
        </w:rPr>
        <w:t>一般固体废物</w:t>
      </w:r>
      <w:r>
        <w:rPr>
          <w:rFonts w:hint="eastAsia" w:ascii="仿宋_GB2312" w:hAnsi="仿宋_GB2312" w:eastAsia="仿宋_GB2312" w:cs="仿宋_GB2312"/>
          <w:b w:val="0"/>
          <w:bCs w:val="0"/>
          <w:color w:val="auto"/>
          <w:sz w:val="32"/>
          <w:szCs w:val="32"/>
          <w:highlight w:val="none"/>
          <w:vertAlign w:val="baseline"/>
          <w:lang w:val="en-US" w:eastAsia="zh-CN"/>
        </w:rPr>
        <w:t>交由环卫部门定期清运。</w:t>
      </w:r>
      <w:r>
        <w:rPr>
          <w:rFonts w:hint="eastAsia" w:ascii="仿宋_GB2312" w:hAnsi="仿宋_GB2312" w:eastAsia="仿宋_GB2312" w:cs="仿宋_GB2312"/>
          <w:color w:val="auto"/>
          <w:kern w:val="0"/>
          <w:sz w:val="32"/>
          <w:szCs w:val="32"/>
          <w:highlight w:val="none"/>
          <w:lang w:val="en-US" w:eastAsia="zh-CN" w:bidi="ar"/>
        </w:rPr>
        <w:t>污泥执行《城镇污水处理厂污染物排放标准》（GB 18918－2002）要求</w:t>
      </w:r>
      <w:r>
        <w:rPr>
          <w:rFonts w:hint="eastAsia" w:ascii="仿宋_GB2312" w:hAnsi="仿宋_GB2312" w:eastAsia="仿宋_GB2312" w:cs="仿宋_GB2312"/>
          <w:b w:val="0"/>
          <w:bCs w:val="0"/>
          <w:color w:val="auto"/>
          <w:sz w:val="32"/>
          <w:szCs w:val="32"/>
          <w:highlight w:val="none"/>
          <w:vertAlign w:val="baseline"/>
          <w:lang w:val="en-US" w:eastAsia="zh-CN"/>
        </w:rPr>
        <w:t>，委托有资质单位进行处置。</w:t>
      </w:r>
    </w:p>
    <w:p w14:paraId="0FF60E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（五）土壤和地下水污染防治。按相关技术规范及《报告表》要求严格落实分区防渗措施，并加强防渗设施的日常维护。落实土壤和地下水监测制度，防止土壤及地下水污染。</w:t>
      </w:r>
    </w:p>
    <w:p w14:paraId="01E5A0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六）环境风险防范。强化环境风险防范和应急措施，及时修订企业突发环境事件应急预案，充分衔接政府及有关部门的应急预案，并与地方政府建立应急联动机制。做好防范措施，避免事故排放，对下游河流水质产生不利影响。</w:t>
      </w:r>
    </w:p>
    <w:p w14:paraId="58C616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三、本项目新增主要污染物排放总量控制要求为：化学需氧量365吨/年、氨氮36.5吨/年</w:t>
      </w:r>
      <w:r>
        <w:rPr>
          <w:rFonts w:hint="eastAsia" w:ascii="仿宋_GB2312" w:hAnsi="Times New Roman" w:eastAsia="仿宋_GB2312" w:cs="宋体"/>
          <w:strike w:val="0"/>
          <w:dstrike w:val="0"/>
          <w:color w:val="auto"/>
          <w:kern w:val="0"/>
          <w:sz w:val="32"/>
          <w:szCs w:val="32"/>
          <w:highlight w:val="none"/>
          <w:lang w:val="en-US" w:eastAsia="zh-CN" w:bidi="ar"/>
        </w:rPr>
        <w:t>。项目改扩建后全厂主要污染物排放总量控制要求为:</w:t>
      </w:r>
      <w:r>
        <w:rPr>
          <w:rFonts w:hint="eastAsia" w:ascii="仿宋_GB2312" w:hAnsi="Times New Roman" w:eastAsia="仿宋_GB2312" w:cs="宋体"/>
          <w:color w:val="auto"/>
          <w:kern w:val="0"/>
          <w:sz w:val="32"/>
          <w:szCs w:val="32"/>
          <w:highlight w:val="none"/>
          <w:lang w:val="en-US" w:eastAsia="zh-CN" w:bidi="ar"/>
        </w:rPr>
        <w:t>化学需氧量365吨/年、氨氮36.5吨/年。</w:t>
      </w:r>
    </w:p>
    <w:p w14:paraId="06AE66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四、《报告表》批准后，如建设项目的性质、规模、地点、采用的生产工艺或者防治污染、防止生态破坏的措施发生重大变动的，应当依法重新报批项目环评。《报告表》自批准之日起满5年，项目方开工建设的，其环评文件应当依法报我局重新审核。</w:t>
      </w:r>
    </w:p>
    <w:p w14:paraId="37C4D17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五、项目建设应严格执行环境保护“三同时”制度，投入生产并产生实际排污行为之前，你司应认真梳理并确认各项环境保护措施落实，依法重新申领排污许可证并按证排污。项目投入生产后，应依法组织开展竣工环保自主验收。</w:t>
      </w:r>
    </w:p>
    <w:p w14:paraId="7724DF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atLeast"/>
        <w:ind w:left="0" w:right="0" w:firstLine="640" w:firstLineChars="200"/>
        <w:jc w:val="both"/>
        <w:textAlignment w:val="auto"/>
        <w:rPr>
          <w:rFonts w:hint="eastAsia" w:ascii="仿宋_GB2312" w:eastAsia="仿宋_GB2312" w:cs="宋体"/>
          <w:color w:val="auto"/>
          <w:kern w:val="0"/>
          <w:sz w:val="32"/>
          <w:szCs w:val="32"/>
          <w:highlight w:val="none"/>
          <w:lang w:val="en-US"/>
        </w:rPr>
      </w:pPr>
      <w:r>
        <w:rPr>
          <w:rFonts w:hint="eastAsia" w:ascii="仿宋_GB2312" w:hAnsi="Times New Roman" w:eastAsia="仿宋_GB2312" w:cs="宋体"/>
          <w:color w:val="auto"/>
          <w:kern w:val="0"/>
          <w:sz w:val="32"/>
          <w:szCs w:val="32"/>
          <w:highlight w:val="none"/>
          <w:lang w:val="en-US" w:eastAsia="zh-CN" w:bidi="ar"/>
        </w:rPr>
        <w:t>六、我局委托福州市生态环境保护综合执法支队开展该项目环保“三同时”监督检查，由福州市闽清生态环境局负责该项目日常环保监督管理工作。</w:t>
      </w:r>
    </w:p>
    <w:p w14:paraId="08C779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eastAsia="仿宋_GB2312" w:cs="宋体"/>
          <w:color w:val="auto"/>
          <w:kern w:val="0"/>
          <w:sz w:val="32"/>
          <w:szCs w:val="32"/>
          <w:highlight w:val="none"/>
          <w:lang w:val="en-US"/>
        </w:rPr>
      </w:pPr>
    </w:p>
    <w:p w14:paraId="1743B426">
      <w:pPr>
        <w:pStyle w:val="5"/>
        <w:keepNext w:val="0"/>
        <w:keepLines w:val="0"/>
        <w:pageBreakBefore w:val="0"/>
        <w:widowControl/>
        <w:kinsoku/>
        <w:wordWrap/>
        <w:overflowPunct/>
        <w:topLinePunct w:val="0"/>
        <w:autoSpaceDE/>
        <w:autoSpaceDN/>
        <w:bidi w:val="0"/>
        <w:adjustRightInd/>
        <w:snapToGrid w:val="0"/>
        <w:spacing w:line="520" w:lineRule="exact"/>
        <w:ind w:right="1170" w:rightChars="557"/>
        <w:jc w:val="right"/>
        <w:textAlignment w:val="auto"/>
        <w:rPr>
          <w:rFonts w:hint="eastAsia" w:ascii="仿宋_GB2312" w:eastAsia="仿宋_GB2312" w:cs="仿宋_GB2312"/>
          <w:color w:val="auto"/>
          <w:highlight w:val="none"/>
          <w:lang w:val="en-US"/>
        </w:rPr>
      </w:pPr>
      <w:r>
        <w:rPr>
          <w:rFonts w:hint="eastAsia" w:ascii="仿宋_GB2312" w:eastAsia="仿宋_GB2312" w:cs="仿宋_GB2312"/>
          <w:color w:val="auto"/>
          <w:highlight w:val="none"/>
          <w:lang w:eastAsia="zh-CN"/>
        </w:rPr>
        <w:t>福州市生态环境局</w:t>
      </w:r>
    </w:p>
    <w:p w14:paraId="681BECD2">
      <w:pPr>
        <w:pStyle w:val="5"/>
        <w:keepNext w:val="0"/>
        <w:keepLines w:val="0"/>
        <w:pageBreakBefore w:val="0"/>
        <w:widowControl/>
        <w:kinsoku/>
        <w:wordWrap/>
        <w:overflowPunct/>
        <w:topLinePunct w:val="0"/>
        <w:autoSpaceDE/>
        <w:autoSpaceDN/>
        <w:bidi w:val="0"/>
        <w:adjustRightInd/>
        <w:snapToGrid w:val="0"/>
        <w:spacing w:line="520" w:lineRule="exact"/>
        <w:ind w:right="1170" w:rightChars="557"/>
        <w:jc w:val="right"/>
        <w:textAlignment w:val="auto"/>
        <w:rPr>
          <w:rFonts w:hint="eastAsia" w:ascii="仿宋_GB2312" w:eastAsia="仿宋_GB2312" w:cs="仿宋_GB2312"/>
          <w:color w:val="auto"/>
          <w:highlight w:val="none"/>
          <w:lang w:eastAsia="zh-CN"/>
        </w:rPr>
      </w:pPr>
      <w:r>
        <w:rPr>
          <w:rFonts w:hint="eastAsia" w:ascii="仿宋_GB2312" w:eastAsia="仿宋_GB2312" w:cs="仿宋_GB2312"/>
          <w:color w:val="auto"/>
          <w:highlight w:val="none"/>
          <w:lang w:val="en-US"/>
        </w:rPr>
        <w:t>20</w:t>
      </w:r>
      <w:r>
        <w:rPr>
          <w:rFonts w:hint="eastAsia" w:ascii="仿宋_GB2312" w:eastAsia="仿宋_GB2312" w:cs="仿宋_GB2312"/>
          <w:color w:val="auto"/>
          <w:highlight w:val="none"/>
          <w:lang w:val="en-US" w:eastAsia="zh-CN"/>
        </w:rPr>
        <w:t>25</w:t>
      </w:r>
      <w:r>
        <w:rPr>
          <w:rFonts w:hint="eastAsia" w:ascii="仿宋_GB2312" w:eastAsia="仿宋_GB2312" w:cs="仿宋_GB2312"/>
          <w:color w:val="auto"/>
          <w:highlight w:val="none"/>
          <w:lang w:eastAsia="zh-CN"/>
        </w:rPr>
        <w:t>年</w:t>
      </w:r>
      <w:r>
        <w:rPr>
          <w:rFonts w:hint="eastAsia" w:ascii="仿宋_GB2312" w:eastAsia="仿宋_GB2312" w:cs="仿宋_GB2312"/>
          <w:color w:val="auto"/>
          <w:highlight w:val="none"/>
          <w:lang w:val="en-US" w:eastAsia="zh-CN"/>
        </w:rPr>
        <w:t>7</w:t>
      </w:r>
      <w:r>
        <w:rPr>
          <w:rFonts w:hint="eastAsia" w:ascii="仿宋_GB2312" w:eastAsia="仿宋_GB2312" w:cs="仿宋_GB2312"/>
          <w:color w:val="auto"/>
          <w:highlight w:val="none"/>
          <w:lang w:eastAsia="zh-CN"/>
        </w:rPr>
        <w:t>月</w:t>
      </w:r>
      <w:r>
        <w:rPr>
          <w:rFonts w:hint="eastAsia" w:ascii="仿宋_GB2312" w:eastAsia="仿宋_GB2312" w:cs="仿宋_GB2312"/>
          <w:color w:val="auto"/>
          <w:highlight w:val="none"/>
          <w:lang w:val="en-US" w:eastAsia="zh-CN"/>
        </w:rPr>
        <w:t>28</w:t>
      </w:r>
      <w:r>
        <w:rPr>
          <w:rFonts w:hint="eastAsia" w:ascii="仿宋_GB2312" w:eastAsia="仿宋_GB2312" w:cs="仿宋_GB2312"/>
          <w:color w:val="auto"/>
          <w:highlight w:val="none"/>
          <w:lang w:eastAsia="zh-CN"/>
        </w:rPr>
        <w:t>日</w:t>
      </w:r>
    </w:p>
    <w:p w14:paraId="28EF1B1A">
      <w:pPr>
        <w:rPr>
          <w:rFonts w:hint="eastAsia" w:ascii="仿宋_GB2312" w:eastAsia="仿宋_GB2312" w:cs="仿宋_GB2312"/>
          <w:color w:val="auto"/>
          <w:highlight w:val="none"/>
          <w:lang w:eastAsia="zh-CN"/>
        </w:rPr>
      </w:pPr>
    </w:p>
    <w:p w14:paraId="535509F7">
      <w:pPr>
        <w:pStyle w:val="2"/>
        <w:rPr>
          <w:rFonts w:hint="eastAsia" w:ascii="仿宋_GB2312" w:eastAsia="仿宋_GB2312" w:cs="仿宋_GB2312"/>
          <w:color w:val="auto"/>
          <w:highlight w:val="none"/>
          <w:lang w:eastAsia="zh-CN"/>
        </w:rPr>
      </w:pPr>
    </w:p>
    <w:p w14:paraId="01F58580">
      <w:pPr>
        <w:pStyle w:val="2"/>
        <w:rPr>
          <w:rFonts w:hint="eastAsia" w:ascii="仿宋_GB2312" w:eastAsia="仿宋_GB2312" w:cs="仿宋_GB2312"/>
          <w:color w:val="auto"/>
          <w:highlight w:val="none"/>
          <w:lang w:eastAsia="zh-CN"/>
        </w:rPr>
      </w:pPr>
    </w:p>
    <w:p w14:paraId="595FFE03">
      <w:pPr>
        <w:pStyle w:val="2"/>
        <w:rPr>
          <w:rFonts w:hint="eastAsia" w:ascii="仿宋_GB2312" w:eastAsia="仿宋_GB2312" w:cs="仿宋_GB2312"/>
          <w:color w:val="auto"/>
          <w:highlight w:val="none"/>
          <w:lang w:eastAsia="zh-CN"/>
        </w:rPr>
      </w:pPr>
    </w:p>
    <w:p w14:paraId="66436701">
      <w:pPr>
        <w:rPr>
          <w:rFonts w:hint="eastAsia"/>
          <w:color w:val="auto"/>
          <w:highlight w:val="none"/>
          <w:lang w:eastAsia="zh-CN"/>
        </w:rPr>
      </w:pPr>
    </w:p>
    <w:p w14:paraId="0BCDF1C4">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color w:val="auto"/>
          <w:highlight w:val="none"/>
          <w:lang w:val="en-US"/>
        </w:rPr>
      </w:pPr>
    </w:p>
    <w:tbl>
      <w:tblPr>
        <w:tblStyle w:val="9"/>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2058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650E2176">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color w:val="auto"/>
                <w:sz w:val="28"/>
                <w:szCs w:val="28"/>
                <w:highlight w:val="none"/>
                <w:lang w:val="en-US"/>
              </w:rPr>
            </w:pPr>
            <w:r>
              <w:rPr>
                <w:rFonts w:hint="eastAsia" w:ascii="仿宋_GB2312" w:hAnsi="Times New Roman" w:eastAsia="仿宋_GB2312" w:cs="仿宋_GB2312"/>
                <w:color w:val="auto"/>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16E9F528">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color w:val="auto"/>
                <w:sz w:val="28"/>
                <w:szCs w:val="28"/>
                <w:highlight w:val="none"/>
                <w:lang w:val="en-US"/>
              </w:rPr>
            </w:pPr>
            <w:r>
              <w:rPr>
                <w:rFonts w:hint="eastAsia" w:ascii="仿宋_GB2312" w:hAnsi="Times New Roman" w:eastAsia="仿宋_GB2312" w:cs="仿宋_GB2312"/>
                <w:color w:val="auto"/>
                <w:kern w:val="2"/>
                <w:sz w:val="28"/>
                <w:szCs w:val="20"/>
                <w:highlight w:val="none"/>
                <w:lang w:val="en-US" w:eastAsia="zh-CN" w:bidi="ar"/>
              </w:rPr>
              <w:t>福州市生态环境保护综合执法支队，福州市闽清生态环境局，福州沁洋环保科技有限公司。</w:t>
            </w:r>
          </w:p>
        </w:tc>
      </w:tr>
      <w:tr w14:paraId="680F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1EFE1F86">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color w:val="auto"/>
                <w:sz w:val="28"/>
                <w:szCs w:val="28"/>
                <w:highlight w:val="none"/>
                <w:lang w:val="en-US"/>
              </w:rPr>
            </w:pPr>
            <w:r>
              <w:rPr>
                <w:rFonts w:hint="eastAsia" w:ascii="仿宋_GB2312" w:hAnsi="Times New Roman" w:eastAsia="仿宋_GB2312" w:cs="仿宋_GB2312"/>
                <w:color w:val="auto"/>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35AC3E08">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color w:val="auto"/>
                <w:sz w:val="28"/>
                <w:szCs w:val="28"/>
                <w:highlight w:val="none"/>
                <w:lang w:val="en-US"/>
              </w:rPr>
            </w:pPr>
            <w:r>
              <w:rPr>
                <w:rFonts w:hint="eastAsia" w:ascii="仿宋_GB2312" w:hAnsi="Times New Roman" w:eastAsia="仿宋_GB2312" w:cs="仿宋_GB2312"/>
                <w:color w:val="auto"/>
                <w:kern w:val="2"/>
                <w:sz w:val="28"/>
                <w:szCs w:val="28"/>
                <w:highlight w:val="none"/>
                <w:lang w:val="en-US" w:eastAsia="zh-CN" w:bidi="ar"/>
              </w:rPr>
              <w:t>2025年7月28日印发</w:t>
            </w:r>
          </w:p>
        </w:tc>
      </w:tr>
      <w:tr w14:paraId="4AE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5" w:type="dxa"/>
            <w:tcBorders>
              <w:top w:val="nil"/>
              <w:left w:val="nil"/>
              <w:bottom w:val="nil"/>
              <w:right w:val="nil"/>
            </w:tcBorders>
            <w:shd w:val="clear" w:color="auto" w:fill="auto"/>
            <w:vAlign w:val="center"/>
          </w:tcPr>
          <w:p w14:paraId="55FAE8CE">
            <w:pPr>
              <w:rPr>
                <w:rFonts w:hint="eastAsia" w:ascii="宋体"/>
                <w:color w:val="auto"/>
                <w:sz w:val="24"/>
                <w:szCs w:val="24"/>
                <w:highlight w:val="none"/>
              </w:rPr>
            </w:pPr>
          </w:p>
        </w:tc>
        <w:tc>
          <w:tcPr>
            <w:tcW w:w="3885" w:type="dxa"/>
            <w:tcBorders>
              <w:top w:val="nil"/>
              <w:left w:val="nil"/>
              <w:bottom w:val="nil"/>
              <w:right w:val="nil"/>
            </w:tcBorders>
            <w:shd w:val="clear" w:color="auto" w:fill="auto"/>
            <w:vAlign w:val="center"/>
          </w:tcPr>
          <w:p w14:paraId="52495348">
            <w:pPr>
              <w:rPr>
                <w:rFonts w:hint="eastAsia" w:ascii="宋体"/>
                <w:color w:val="auto"/>
                <w:sz w:val="24"/>
                <w:szCs w:val="24"/>
                <w:highlight w:val="none"/>
              </w:rPr>
            </w:pPr>
          </w:p>
        </w:tc>
        <w:tc>
          <w:tcPr>
            <w:tcW w:w="3675" w:type="dxa"/>
            <w:tcBorders>
              <w:top w:val="nil"/>
              <w:left w:val="nil"/>
              <w:bottom w:val="nil"/>
              <w:right w:val="nil"/>
            </w:tcBorders>
            <w:shd w:val="clear" w:color="auto" w:fill="auto"/>
            <w:vAlign w:val="center"/>
          </w:tcPr>
          <w:p w14:paraId="00F06EBD">
            <w:pPr>
              <w:rPr>
                <w:rFonts w:hint="eastAsia" w:ascii="宋体"/>
                <w:color w:val="auto"/>
                <w:sz w:val="24"/>
                <w:szCs w:val="24"/>
                <w:highlight w:val="none"/>
              </w:rPr>
            </w:pPr>
          </w:p>
        </w:tc>
      </w:tr>
    </w:tbl>
    <w:p w14:paraId="484DF080">
      <w:pPr>
        <w:rPr>
          <w:color w:val="auto"/>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30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CE73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ACE73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5361"/>
    <w:multiLevelType w:val="singleLevel"/>
    <w:tmpl w:val="2B0E53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0D055EE"/>
    <w:rsid w:val="01DD6FC1"/>
    <w:rsid w:val="04B97894"/>
    <w:rsid w:val="06412598"/>
    <w:rsid w:val="076B63F8"/>
    <w:rsid w:val="07B76A03"/>
    <w:rsid w:val="08877123"/>
    <w:rsid w:val="09194B83"/>
    <w:rsid w:val="097912D2"/>
    <w:rsid w:val="0A0259D4"/>
    <w:rsid w:val="0A537496"/>
    <w:rsid w:val="0A7B2C42"/>
    <w:rsid w:val="0CFC23E2"/>
    <w:rsid w:val="0D9C4648"/>
    <w:rsid w:val="0EBC0E2F"/>
    <w:rsid w:val="0FBE4740"/>
    <w:rsid w:val="110B18A1"/>
    <w:rsid w:val="121E2D9F"/>
    <w:rsid w:val="123E696C"/>
    <w:rsid w:val="12D0457D"/>
    <w:rsid w:val="12D23BBF"/>
    <w:rsid w:val="1339568F"/>
    <w:rsid w:val="14E4368B"/>
    <w:rsid w:val="15B63938"/>
    <w:rsid w:val="15DF1C70"/>
    <w:rsid w:val="16C049E6"/>
    <w:rsid w:val="17376763"/>
    <w:rsid w:val="17C02571"/>
    <w:rsid w:val="185C0C0F"/>
    <w:rsid w:val="19F13A89"/>
    <w:rsid w:val="1A07082D"/>
    <w:rsid w:val="1A2D6D57"/>
    <w:rsid w:val="1ED05AF3"/>
    <w:rsid w:val="20835F2C"/>
    <w:rsid w:val="208F6B19"/>
    <w:rsid w:val="213F3844"/>
    <w:rsid w:val="219278A5"/>
    <w:rsid w:val="23D1267C"/>
    <w:rsid w:val="23ED5533"/>
    <w:rsid w:val="240110B0"/>
    <w:rsid w:val="264F7B2D"/>
    <w:rsid w:val="26F17F87"/>
    <w:rsid w:val="26FA4A88"/>
    <w:rsid w:val="28A86FC8"/>
    <w:rsid w:val="2A021261"/>
    <w:rsid w:val="2A7F762B"/>
    <w:rsid w:val="2C7B0035"/>
    <w:rsid w:val="2CAD0908"/>
    <w:rsid w:val="2CB668AB"/>
    <w:rsid w:val="2E214D74"/>
    <w:rsid w:val="2F652F3C"/>
    <w:rsid w:val="30096A34"/>
    <w:rsid w:val="306223AB"/>
    <w:rsid w:val="31DF7D29"/>
    <w:rsid w:val="32432891"/>
    <w:rsid w:val="344B15E7"/>
    <w:rsid w:val="34565CE1"/>
    <w:rsid w:val="34B92A27"/>
    <w:rsid w:val="34E11855"/>
    <w:rsid w:val="353A30CF"/>
    <w:rsid w:val="36357427"/>
    <w:rsid w:val="38EE2201"/>
    <w:rsid w:val="396A64FB"/>
    <w:rsid w:val="396B7625"/>
    <w:rsid w:val="3B0F3019"/>
    <w:rsid w:val="3B60789B"/>
    <w:rsid w:val="3C461732"/>
    <w:rsid w:val="3DB945F5"/>
    <w:rsid w:val="3F542FD5"/>
    <w:rsid w:val="402C102B"/>
    <w:rsid w:val="40C1255C"/>
    <w:rsid w:val="41976E73"/>
    <w:rsid w:val="42CB5EC3"/>
    <w:rsid w:val="438B4B5B"/>
    <w:rsid w:val="43CA10AF"/>
    <w:rsid w:val="45314B84"/>
    <w:rsid w:val="45F92FCA"/>
    <w:rsid w:val="47C411B6"/>
    <w:rsid w:val="49014440"/>
    <w:rsid w:val="49641AB4"/>
    <w:rsid w:val="4A69668E"/>
    <w:rsid w:val="4A810DC1"/>
    <w:rsid w:val="4B2126A9"/>
    <w:rsid w:val="4B456184"/>
    <w:rsid w:val="4B997BD4"/>
    <w:rsid w:val="4BC03622"/>
    <w:rsid w:val="4C547C35"/>
    <w:rsid w:val="4CD339FE"/>
    <w:rsid w:val="4DB67CDD"/>
    <w:rsid w:val="4E576091"/>
    <w:rsid w:val="4ED41923"/>
    <w:rsid w:val="5328504E"/>
    <w:rsid w:val="53325C92"/>
    <w:rsid w:val="533A7710"/>
    <w:rsid w:val="55473069"/>
    <w:rsid w:val="56DD30D8"/>
    <w:rsid w:val="5773682D"/>
    <w:rsid w:val="59251C1A"/>
    <w:rsid w:val="59790483"/>
    <w:rsid w:val="5A626A26"/>
    <w:rsid w:val="5A7A005C"/>
    <w:rsid w:val="5AB30E80"/>
    <w:rsid w:val="5BC855A2"/>
    <w:rsid w:val="5CB956CE"/>
    <w:rsid w:val="5D8466D6"/>
    <w:rsid w:val="5DF8536F"/>
    <w:rsid w:val="60CC15EA"/>
    <w:rsid w:val="61464082"/>
    <w:rsid w:val="61A94321"/>
    <w:rsid w:val="61AC3705"/>
    <w:rsid w:val="61BD2347"/>
    <w:rsid w:val="64856EDB"/>
    <w:rsid w:val="66E17688"/>
    <w:rsid w:val="674F436D"/>
    <w:rsid w:val="69AA484A"/>
    <w:rsid w:val="6BA34C13"/>
    <w:rsid w:val="6C2A2F12"/>
    <w:rsid w:val="6CA5599E"/>
    <w:rsid w:val="6CC830E5"/>
    <w:rsid w:val="6D0A06B5"/>
    <w:rsid w:val="6D8945FB"/>
    <w:rsid w:val="6E6E2E44"/>
    <w:rsid w:val="6E8B3F62"/>
    <w:rsid w:val="6F460731"/>
    <w:rsid w:val="731146F1"/>
    <w:rsid w:val="747F4DDA"/>
    <w:rsid w:val="749C56FE"/>
    <w:rsid w:val="758F2C99"/>
    <w:rsid w:val="75B546C3"/>
    <w:rsid w:val="75F77103"/>
    <w:rsid w:val="76CA152F"/>
    <w:rsid w:val="77304AEA"/>
    <w:rsid w:val="783B4C00"/>
    <w:rsid w:val="78940811"/>
    <w:rsid w:val="78BA7585"/>
    <w:rsid w:val="7CC80452"/>
    <w:rsid w:val="7CDA4005"/>
    <w:rsid w:val="7D987452"/>
    <w:rsid w:val="7DC97B37"/>
    <w:rsid w:val="7F2E1CFF"/>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qFormat/>
    <w:uiPriority w:val="0"/>
    <w:pPr>
      <w:spacing w:after="0" w:line="420" w:lineRule="exact"/>
      <w:ind w:left="0" w:leftChars="0" w:firstLine="420"/>
    </w:pPr>
    <w:rPr>
      <w:rFonts w:ascii="仿宋_GB2312" w:eastAsia="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5文章(治) Char"/>
    <w:basedOn w:val="11"/>
    <w:qFormat/>
    <w:uiPriority w:val="0"/>
    <w:rPr>
      <w:rFonts w:hint="eastAsia" w:ascii="楷体_GB2312" w:eastAsia="楷体_GB2312" w:cs="楷体_GB2312"/>
      <w:kern w:val="2"/>
      <w:sz w:val="28"/>
      <w:lang w:val="en-US" w:eastAsia="zh-CN" w:bidi="ar"/>
    </w:rPr>
  </w:style>
  <w:style w:type="paragraph" w:customStyle="1" w:styleId="14">
    <w:name w:val="5文章(治)"/>
    <w:basedOn w:val="1"/>
    <w:qFormat/>
    <w:uiPriority w:val="0"/>
    <w:pPr>
      <w:spacing w:line="360" w:lineRule="auto"/>
      <w:ind w:firstLine="720" w:firstLineChars="200"/>
    </w:pPr>
    <w:rPr>
      <w:rFonts w:ascii="Times New Roman" w:hAnsi="Times New Roman" w:eastAsia="宋体" w:cs="Tahoma"/>
      <w:snapToGrid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1915</Words>
  <Characters>2058</Characters>
  <Lines>0</Lines>
  <Paragraphs>0</Paragraphs>
  <TotalTime>3</TotalTime>
  <ScaleCrop>false</ScaleCrop>
  <LinksUpToDate>false</LinksUpToDate>
  <CharactersWithSpaces>2059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baby</cp:lastModifiedBy>
  <cp:lastPrinted>2024-10-21T03:56:00Z</cp:lastPrinted>
  <dcterms:modified xsi:type="dcterms:W3CDTF">2025-07-29T08:49:42Z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07A162A2473042D587B95B9EDB6B78DC_12</vt:lpwstr>
  </property>
  <property fmtid="{D5CDD505-2E9C-101B-9397-08002B2CF9AE}" pid="4" name="KSOTemplateDocerSaveRecord">
    <vt:lpwstr>eyJoZGlkIjoiMGQxMGM2NWJlN2Q1ZTkzMWY3Y2U5YTgzOTNjODgxZTIiLCJ1c2VySWQiOiIxMTIzNjQ4OTY3In0=</vt:lpwstr>
  </property>
</Properties>
</file>