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5180839">
      <w:pPr>
        <w:keepNext w:val="0"/>
        <w:keepLines w:val="0"/>
        <w:pageBreakBefore w:val="0"/>
        <w:widowControl w:val="0"/>
        <w:suppressLineNumbers w:val="0"/>
        <w:kinsoku/>
        <w:wordWrap w:val="0"/>
        <w:overflowPunct/>
        <w:topLinePunct w:val="0"/>
        <w:autoSpaceDE/>
        <w:autoSpaceDN/>
        <w:bidi w:val="0"/>
        <w:adjustRightInd/>
        <w:snapToGrid w:val="0"/>
        <w:spacing w:before="1400" w:beforeAutospacing="0" w:afterAutospacing="0" w:line="240" w:lineRule="auto"/>
        <w:ind w:left="0" w:leftChars="0" w:right="250" w:rightChars="119" w:firstLine="0" w:firstLineChars="0"/>
        <w:jc w:val="right"/>
        <w:textAlignment w:val="auto"/>
        <w:outlineLvl w:val="9"/>
        <w:rPr>
          <w:rFonts w:hint="eastAsia" w:ascii="仿宋" w:hAnsi="仿宋" w:eastAsia="仿宋" w:cs="仿宋"/>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榕环评〔2025〕30号</w:t>
      </w:r>
    </w:p>
    <w:p w14:paraId="6784D432">
      <w:pPr>
        <w:keepNext w:val="0"/>
        <w:keepLines w:val="0"/>
        <w:pageBreakBefore w:val="0"/>
        <w:widowControl w:val="0"/>
        <w:suppressLineNumbers w:val="0"/>
        <w:kinsoku/>
        <w:wordWrap/>
        <w:overflowPunct/>
        <w:topLinePunct w:val="0"/>
        <w:autoSpaceDE/>
        <w:autoSpaceDN/>
        <w:bidi w:val="0"/>
        <w:adjustRightInd/>
        <w:snapToGrid w:val="0"/>
        <w:spacing w:before="800" w:beforeAutospacing="0" w:after="0" w:afterAutospacing="0" w:line="520" w:lineRule="exact"/>
        <w:ind w:left="0" w:right="0"/>
        <w:jc w:val="center"/>
        <w:textAlignment w:val="auto"/>
        <w:rPr>
          <w:rFonts w:hint="eastAsia" w:ascii="方正小标宋简体" w:hAnsi="方正小标宋简体" w:eastAsia="方正小标宋简体" w:cs="方正小标宋简体"/>
          <w:kern w:val="2"/>
          <w:sz w:val="44"/>
          <w:szCs w:val="44"/>
          <w:highlight w:val="none"/>
          <w:lang w:val="en-US" w:eastAsia="zh-CN" w:bidi="ar"/>
        </w:rPr>
      </w:pPr>
      <w:r>
        <w:rPr>
          <w:rFonts w:hint="eastAsia" w:ascii="方正小标宋简体" w:hAnsi="方正小标宋简体" w:eastAsia="方正小标宋简体" w:cs="方正小标宋简体"/>
          <w:kern w:val="2"/>
          <w:sz w:val="44"/>
          <w:szCs w:val="44"/>
          <w:highlight w:val="none"/>
          <w:lang w:val="en-US" w:eastAsia="zh-CN" w:bidi="ar"/>
        </w:rPr>
        <w:t>福州市生态环境局关于</w:t>
      </w:r>
    </w:p>
    <w:p w14:paraId="4B5E8B4D">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20" w:lineRule="exact"/>
        <w:ind w:left="0" w:right="0"/>
        <w:jc w:val="center"/>
        <w:textAlignment w:val="auto"/>
        <w:rPr>
          <w:rFonts w:hint="eastAsia"/>
          <w:highlight w:val="none"/>
          <w:lang w:val="en-US"/>
        </w:rPr>
      </w:pPr>
      <w:r>
        <w:rPr>
          <w:rFonts w:hint="eastAsia" w:ascii="方正小标宋简体" w:hAnsi="方正小标宋简体" w:eastAsia="方正小标宋简体" w:cs="方正小标宋简体"/>
          <w:kern w:val="2"/>
          <w:sz w:val="44"/>
          <w:szCs w:val="44"/>
          <w:highlight w:val="none"/>
          <w:lang w:val="en-US" w:eastAsia="zh-CN" w:bidi="ar"/>
        </w:rPr>
        <w:t>福州通威威廉饲料有限责任公司生产线及附属设施技改项目环境影响报告表的审批意见</w:t>
      </w:r>
    </w:p>
    <w:p w14:paraId="1588193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20" w:lineRule="exact"/>
        <w:ind w:left="0" w:right="0"/>
        <w:jc w:val="both"/>
        <w:textAlignment w:val="auto"/>
        <w:rPr>
          <w:rFonts w:hint="eastAsia" w:ascii="仿宋_GB2312" w:hAnsi="Times New Roman" w:eastAsia="仿宋_GB2312" w:cs="仿宋_GB2312"/>
          <w:kern w:val="2"/>
          <w:sz w:val="32"/>
          <w:szCs w:val="32"/>
          <w:highlight w:val="none"/>
          <w:lang w:val="en-US" w:eastAsia="zh-CN" w:bidi="ar"/>
        </w:rPr>
      </w:pPr>
    </w:p>
    <w:p w14:paraId="033019A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20" w:lineRule="exact"/>
        <w:ind w:left="0" w:right="0"/>
        <w:jc w:val="both"/>
        <w:textAlignment w:val="auto"/>
        <w:rPr>
          <w:rFonts w:hint="eastAsia" w:ascii="仿宋_GB2312" w:eastAsia="仿宋_GB2312" w:cs="仿宋_GB2312"/>
          <w:sz w:val="32"/>
          <w:szCs w:val="32"/>
          <w:highlight w:val="none"/>
          <w:lang w:val="en-US"/>
        </w:rPr>
      </w:pPr>
      <w:r>
        <w:rPr>
          <w:rFonts w:hint="eastAsia" w:ascii="仿宋_GB2312" w:hAnsi="Times New Roman" w:eastAsia="仿宋_GB2312" w:cs="仿宋_GB2312"/>
          <w:kern w:val="2"/>
          <w:sz w:val="32"/>
          <w:szCs w:val="32"/>
          <w:highlight w:val="none"/>
          <w:lang w:val="en-US" w:eastAsia="zh-CN" w:bidi="ar"/>
        </w:rPr>
        <w:t>福州通威威廉饲料有限责任公司：</w:t>
      </w:r>
    </w:p>
    <w:p w14:paraId="6FFEF3B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20" w:lineRule="exact"/>
        <w:ind w:left="0" w:right="0" w:firstLine="640" w:firstLineChars="200"/>
        <w:jc w:val="both"/>
        <w:textAlignment w:val="auto"/>
        <w:rPr>
          <w:rFonts w:hint="eastAsia" w:ascii="仿宋_GB2312" w:hAnsi="Times New Roman" w:eastAsia="仿宋_GB2312" w:cs="仿宋_GB2312"/>
          <w:kern w:val="2"/>
          <w:sz w:val="32"/>
          <w:szCs w:val="32"/>
          <w:highlight w:val="none"/>
          <w:lang w:val="en-US" w:eastAsia="zh-CN" w:bidi="ar"/>
        </w:rPr>
      </w:pPr>
      <w:r>
        <w:rPr>
          <w:rFonts w:hint="eastAsia" w:ascii="仿宋_GB2312" w:hAnsi="Times New Roman" w:eastAsia="仿宋_GB2312" w:cs="仿宋_GB2312"/>
          <w:kern w:val="2"/>
          <w:sz w:val="32"/>
          <w:szCs w:val="32"/>
          <w:highlight w:val="none"/>
          <w:lang w:val="en-US" w:eastAsia="zh-CN" w:bidi="ar"/>
        </w:rPr>
        <w:t>你司报送的《福州通威威廉饲料有限责任公司生产线及附属设施技改项目环境影响报告表》(以下简称《报告表》)收悉。根据《中华人民共和国环境影响评价法》第22条等规定，并征求福州市福清生态环境局意见，现提出审批意见如下：</w:t>
      </w:r>
    </w:p>
    <w:p w14:paraId="03A648E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20" w:lineRule="exact"/>
        <w:ind w:left="0" w:right="0" w:firstLine="640" w:firstLineChars="200"/>
        <w:jc w:val="both"/>
        <w:textAlignment w:val="auto"/>
        <w:rPr>
          <w:rFonts w:hint="eastAsia" w:ascii="仿宋_GB2312" w:hAnsi="Times New Roman" w:eastAsia="仿宋_GB2312" w:cs="宋体"/>
          <w:kern w:val="0"/>
          <w:sz w:val="32"/>
          <w:szCs w:val="32"/>
          <w:highlight w:val="none"/>
          <w:lang w:val="en-US" w:eastAsia="zh-CN" w:bidi="ar"/>
        </w:rPr>
      </w:pPr>
      <w:r>
        <w:rPr>
          <w:rFonts w:hint="eastAsia" w:ascii="仿宋_GB2312" w:hAnsi="Times New Roman" w:eastAsia="仿宋_GB2312" w:cs="宋体"/>
          <w:kern w:val="0"/>
          <w:sz w:val="32"/>
          <w:szCs w:val="32"/>
          <w:highlight w:val="none"/>
          <w:lang w:val="en-US" w:eastAsia="zh-CN" w:bidi="ar"/>
        </w:rPr>
        <w:t>一、福州通威威廉饲料有限责任公司生产线及附属设施技改项目位于福州市福清市渔溪镇红山村福州通威威廉饲料有限责任公司现有厂区</w:t>
      </w:r>
      <w:r>
        <w:rPr>
          <w:rFonts w:hint="eastAsia" w:ascii="仿宋_GB2312" w:hAnsi="Times New Roman" w:eastAsia="仿宋_GB2312" w:cs="宋体"/>
          <w:color w:val="000000" w:themeColor="text1"/>
          <w:kern w:val="0"/>
          <w:sz w:val="32"/>
          <w:szCs w:val="32"/>
          <w:highlight w:val="none"/>
          <w:lang w:val="en-US" w:eastAsia="zh-CN" w:bidi="ar"/>
          <w14:textFill>
            <w14:solidFill>
              <w14:schemeClr w14:val="tx1"/>
            </w14:solidFill>
          </w14:textFill>
        </w:rPr>
        <w:t>规划红线范围内，项目对厂区B地块现有饲料生产线进行提升改造，取消原猪饲料生产，并安装1条水产膨化饲料生产线。项目建成后，全厂设颗粒虾料生产线2条、颗粒鱼料生产线1条、水产膨化料生产线2条；年产饲料总产能不变仍为18万吨，其中年产虾料2万吨、年产鱼料10万吨，年产水产膨化料6万吨；</w:t>
      </w:r>
      <w:bookmarkStart w:id="0" w:name="OLE_LINK43"/>
      <w:r>
        <w:rPr>
          <w:rFonts w:hint="eastAsia" w:ascii="仿宋_GB2312" w:hAnsi="Times New Roman" w:eastAsia="仿宋_GB2312" w:cs="宋体"/>
          <w:color w:val="000000" w:themeColor="text1"/>
          <w:kern w:val="0"/>
          <w:sz w:val="32"/>
          <w:szCs w:val="32"/>
          <w:highlight w:val="none"/>
          <w:lang w:val="en-US" w:eastAsia="zh-CN" w:bidi="ar"/>
          <w14:textFill>
            <w14:solidFill>
              <w14:schemeClr w14:val="tx1"/>
            </w14:solidFill>
          </w14:textFill>
        </w:rPr>
        <w:t>同时，将原有的1台2t/h的生物质蒸汽锅炉更换为2台3t/h的天然气蒸汽锅炉（一用一备），</w:t>
      </w:r>
      <w:bookmarkEnd w:id="0"/>
      <w:r>
        <w:rPr>
          <w:rFonts w:hint="eastAsia" w:ascii="仿宋_GB2312" w:hAnsi="Times New Roman" w:eastAsia="仿宋_GB2312" w:cs="宋体"/>
          <w:color w:val="000000" w:themeColor="text1"/>
          <w:kern w:val="0"/>
          <w:sz w:val="32"/>
          <w:szCs w:val="32"/>
          <w:highlight w:val="none"/>
          <w:lang w:val="en-US" w:eastAsia="zh-CN" w:bidi="ar"/>
          <w14:textFill>
            <w14:solidFill>
              <w14:schemeClr w14:val="tx1"/>
            </w14:solidFill>
          </w14:textFill>
        </w:rPr>
        <w:t>并在厂区内配备1个52.6m</w:t>
      </w:r>
      <w:r>
        <w:rPr>
          <w:rFonts w:hint="eastAsia" w:ascii="仿宋_GB2312" w:hAnsi="Times New Roman" w:eastAsia="仿宋_GB2312" w:cs="宋体"/>
          <w:color w:val="000000" w:themeColor="text1"/>
          <w:kern w:val="0"/>
          <w:sz w:val="32"/>
          <w:szCs w:val="32"/>
          <w:highlight w:val="none"/>
          <w:vertAlign w:val="superscript"/>
          <w:lang w:val="en-US" w:eastAsia="zh-CN" w:bidi="ar"/>
          <w14:textFill>
            <w14:solidFill>
              <w14:schemeClr w14:val="tx1"/>
            </w14:solidFill>
          </w14:textFill>
        </w:rPr>
        <w:t>3</w:t>
      </w:r>
      <w:r>
        <w:rPr>
          <w:rFonts w:hint="eastAsia" w:ascii="仿宋_GB2312" w:hAnsi="Times New Roman" w:eastAsia="仿宋_GB2312" w:cs="宋体"/>
          <w:color w:val="000000" w:themeColor="text1"/>
          <w:kern w:val="0"/>
          <w:sz w:val="32"/>
          <w:szCs w:val="32"/>
          <w:highlight w:val="none"/>
          <w:lang w:val="en-US" w:eastAsia="zh-CN" w:bidi="ar"/>
          <w14:textFill>
            <w14:solidFill>
              <w14:schemeClr w14:val="tx1"/>
            </w14:solidFill>
          </w14:textFill>
        </w:rPr>
        <w:t>液化天然气储罐。根据</w:t>
      </w:r>
      <w:r>
        <w:rPr>
          <w:rFonts w:hint="eastAsia" w:ascii="仿宋_GB2312" w:hAnsi="Times New Roman" w:eastAsia="仿宋_GB2312" w:cs="宋体"/>
          <w:kern w:val="0"/>
          <w:sz w:val="32"/>
          <w:szCs w:val="32"/>
          <w:highlight w:val="none"/>
          <w:lang w:val="en-US" w:eastAsia="zh-CN" w:bidi="ar"/>
        </w:rPr>
        <w:t>《报告表》评价结论，该项目建设符合生态环境保护相关法律法规和政策，符合生态环境分区管控要求，在严格落实《报告表》提出的各项生态环境保护和环境风险防控措施，加强环境管理的前提下，从环境影响角度分析，项目建设可行。我局原则同意《报告表》中所列建设项目的性质、规模、地点、工艺和拟采取的环境保护对策措施。</w:t>
      </w:r>
    </w:p>
    <w:p w14:paraId="209F90B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20" w:lineRule="exact"/>
        <w:ind w:left="0" w:right="0" w:firstLine="640" w:firstLineChars="200"/>
        <w:jc w:val="both"/>
        <w:textAlignment w:val="auto"/>
        <w:rPr>
          <w:rFonts w:hint="eastAsia" w:ascii="仿宋_GB2312" w:hAnsi="Times New Roman" w:eastAsia="仿宋_GB2312" w:cs="宋体"/>
          <w:kern w:val="0"/>
          <w:sz w:val="32"/>
          <w:szCs w:val="32"/>
          <w:highlight w:val="none"/>
          <w:lang w:val="en-US" w:eastAsia="zh-CN" w:bidi="ar"/>
        </w:rPr>
      </w:pPr>
      <w:r>
        <w:rPr>
          <w:rFonts w:hint="eastAsia" w:ascii="仿宋_GB2312" w:hAnsi="Times New Roman" w:eastAsia="仿宋_GB2312" w:cs="宋体"/>
          <w:kern w:val="0"/>
          <w:sz w:val="32"/>
          <w:szCs w:val="32"/>
          <w:highlight w:val="none"/>
          <w:lang w:val="en-US" w:eastAsia="zh-CN" w:bidi="ar"/>
        </w:rPr>
        <w:t>二、项目建设和</w:t>
      </w:r>
      <w:r>
        <w:rPr>
          <w:rFonts w:hint="eastAsia" w:ascii="仿宋_GB2312" w:hAnsi="宋体" w:eastAsia="仿宋_GB2312" w:cs="仿宋_GB2312"/>
          <w:kern w:val="2"/>
          <w:sz w:val="32"/>
          <w:szCs w:val="32"/>
          <w:highlight w:val="none"/>
          <w:lang w:val="en-US" w:eastAsia="zh-CN" w:bidi="ar"/>
        </w:rPr>
        <w:t>生产管理过程</w:t>
      </w:r>
      <w:r>
        <w:rPr>
          <w:rFonts w:hint="eastAsia" w:ascii="仿宋_GB2312" w:hAnsi="Times New Roman" w:eastAsia="仿宋_GB2312" w:cs="宋体"/>
          <w:kern w:val="0"/>
          <w:sz w:val="32"/>
          <w:szCs w:val="32"/>
          <w:highlight w:val="none"/>
          <w:lang w:val="en-US" w:eastAsia="zh-CN" w:bidi="ar"/>
        </w:rPr>
        <w:t>中，应认真落实《报告表》提出的各项生态环境保护措施和要求，采取严格有效的污染防治、环境风险防控措施，确保各类污染物达标排放，环境风险有效防控。着重做好以下工作：</w:t>
      </w:r>
    </w:p>
    <w:p w14:paraId="1EA5FF24">
      <w:pPr>
        <w:keepNext w:val="0"/>
        <w:keepLines w:val="0"/>
        <w:pageBreakBefore w:val="0"/>
        <w:widowControl w:val="0"/>
        <w:kinsoku/>
        <w:wordWrap/>
        <w:overflowPunct/>
        <w:topLinePunct w:val="0"/>
        <w:autoSpaceDE/>
        <w:autoSpaceDN/>
        <w:bidi w:val="0"/>
        <w:adjustRightInd/>
        <w:snapToGrid w:val="0"/>
        <w:spacing w:afterAutospacing="0" w:line="600" w:lineRule="exact"/>
        <w:ind w:left="0" w:lef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（一）应做好现有工程环境管理工作，并按照《报告表》提出的“以新带老”要求，对现有工程存在的主要环保问题及时完成整改。</w:t>
      </w:r>
    </w:p>
    <w:p w14:paraId="14D3883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20" w:lineRule="exact"/>
        <w:ind w:left="0" w:right="0" w:firstLine="640" w:firstLineChars="200"/>
        <w:jc w:val="both"/>
        <w:textAlignment w:val="auto"/>
        <w:rPr>
          <w:rFonts w:hint="eastAsia" w:ascii="仿宋_GB2312" w:hAnsi="Times New Roman" w:eastAsia="仿宋_GB2312" w:cs="宋体"/>
          <w:color w:val="000000" w:themeColor="text1"/>
          <w:kern w:val="0"/>
          <w:sz w:val="32"/>
          <w:szCs w:val="32"/>
          <w:highlight w:val="none"/>
          <w:lang w:val="en-US" w:eastAsia="zh-CN" w:bidi="ar"/>
          <w14:textFill>
            <w14:solidFill>
              <w14:schemeClr w14:val="tx1"/>
            </w14:solidFill>
          </w14:textFill>
        </w:rPr>
      </w:pPr>
      <w:r>
        <w:rPr>
          <w:rFonts w:hint="eastAsia" w:ascii="仿宋_GB2312" w:hAnsi="Times New Roman" w:eastAsia="仿宋_GB2312" w:cs="宋体"/>
          <w:kern w:val="0"/>
          <w:sz w:val="32"/>
          <w:szCs w:val="32"/>
          <w:highlight w:val="none"/>
          <w:lang w:val="en-US" w:eastAsia="zh-CN" w:bidi="ar"/>
        </w:rPr>
        <w:t>（二）加强对各类废气的控制、收集与处理，最大程度减少废气的无组织排放。蒸汽锅炉采用低氮燃烧技术，锅炉废气通过一根排气筒引至不低于10米高空排放。饲料生产线粉碎、混合工序在封闭设备中进行，运行产生的粉尘经除尘器处理后通过密闭管道收集处理达标后，通过1根45米高排气筒排</w:t>
      </w:r>
      <w:r>
        <w:rPr>
          <w:rFonts w:hint="eastAsia" w:ascii="仿宋_GB2312" w:hAnsi="Times New Roman" w:eastAsia="仿宋_GB2312" w:cs="宋体"/>
          <w:color w:val="000000" w:themeColor="text1"/>
          <w:kern w:val="0"/>
          <w:sz w:val="32"/>
          <w:szCs w:val="32"/>
          <w:highlight w:val="none"/>
          <w:lang w:val="en-US" w:eastAsia="zh-CN" w:bidi="ar"/>
          <w14:textFill>
            <w14:solidFill>
              <w14:schemeClr w14:val="tx1"/>
            </w14:solidFill>
          </w14:textFill>
        </w:rPr>
        <w:t>放；生产线烘干、膨化、冷却废气经密闭收集处理达标后，分别通过2根45米高排气筒排放。车间通风系统废气经收集处理达标后，通过1根15米高排气筒排放。锅炉废气排放执行《锅炉大气污染物排放标准》（GB13271-2014）表3大气污染物特别排放限值中“燃气锅炉”标准；生产废气中颗粒物有组织排放执行《大气污染物综合排放标准》（GB16297-1996）表2中二级标准，无组织排放执行《大气污染物综合排放标准》（GB16297-1996）表2中无组织排放监控浓度限值；臭气浓度有组织排放执行《恶臭污染物排放标准》（GB14554-93）表2恶臭污染物排放标准值，无组织排放执行《恶臭污染物排放标准》（GB14554-93）表1恶臭污染物厂界标准值。</w:t>
      </w:r>
    </w:p>
    <w:p w14:paraId="42D6332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20" w:lineRule="exact"/>
        <w:ind w:left="0" w:right="0" w:firstLine="640" w:firstLineChars="200"/>
        <w:jc w:val="both"/>
        <w:textAlignment w:val="auto"/>
        <w:rPr>
          <w:rFonts w:hint="eastAsia" w:ascii="仿宋_GB2312" w:hAnsi="Times New Roman" w:eastAsia="仿宋_GB2312" w:cs="宋体"/>
          <w:color w:val="000000" w:themeColor="text1"/>
          <w:kern w:val="0"/>
          <w:sz w:val="32"/>
          <w:szCs w:val="32"/>
          <w:highlight w:val="none"/>
          <w:lang w:val="en-US" w:eastAsia="zh-CN" w:bidi="ar"/>
          <w14:textFill>
            <w14:solidFill>
              <w14:schemeClr w14:val="tx1"/>
            </w14:solidFill>
          </w14:textFill>
        </w:rPr>
      </w:pPr>
      <w:r>
        <w:rPr>
          <w:rFonts w:hint="eastAsia" w:ascii="仿宋_GB2312" w:hAnsi="Times New Roman" w:eastAsia="仿宋_GB2312" w:cs="宋体"/>
          <w:color w:val="000000" w:themeColor="text1"/>
          <w:kern w:val="0"/>
          <w:sz w:val="32"/>
          <w:szCs w:val="32"/>
          <w:highlight w:val="none"/>
          <w:lang w:val="en-US" w:eastAsia="zh-CN" w:bidi="ar"/>
          <w14:textFill>
            <w14:solidFill>
              <w14:schemeClr w14:val="tx1"/>
            </w14:solidFill>
          </w14:textFill>
        </w:rPr>
        <w:t>（三）锅炉废水、车间废气喷淋处理系统废水经废水处理设施处理后回用于废气喷淋系统，不外排。生活污水经处理后，回用于厂区绿化，不外排。</w:t>
      </w:r>
    </w:p>
    <w:p w14:paraId="042C289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20" w:lineRule="exact"/>
        <w:ind w:left="0" w:right="0" w:firstLine="640" w:firstLineChars="200"/>
        <w:jc w:val="both"/>
        <w:textAlignment w:val="auto"/>
        <w:rPr>
          <w:rFonts w:hint="eastAsia" w:ascii="仿宋_GB2312" w:hAnsi="Times New Roman" w:eastAsia="仿宋_GB2312" w:cs="宋体"/>
          <w:color w:val="000000" w:themeColor="text1"/>
          <w:kern w:val="0"/>
          <w:sz w:val="32"/>
          <w:szCs w:val="32"/>
          <w:highlight w:val="yellow"/>
          <w:lang w:val="en-US" w:eastAsia="zh-CN" w:bidi="ar"/>
          <w14:textFill>
            <w14:solidFill>
              <w14:schemeClr w14:val="tx1"/>
            </w14:solidFill>
          </w14:textFill>
        </w:rPr>
      </w:pPr>
      <w:r>
        <w:rPr>
          <w:rFonts w:hint="eastAsia" w:ascii="仿宋_GB2312" w:hAnsi="Times New Roman" w:eastAsia="仿宋_GB2312" w:cs="宋体"/>
          <w:color w:val="000000" w:themeColor="text1"/>
          <w:kern w:val="0"/>
          <w:sz w:val="32"/>
          <w:szCs w:val="32"/>
          <w:highlight w:val="none"/>
          <w:lang w:val="en-US" w:eastAsia="zh-CN" w:bidi="ar"/>
          <w14:textFill>
            <w14:solidFill>
              <w14:schemeClr w14:val="tx1"/>
            </w14:solidFill>
          </w14:textFill>
        </w:rPr>
        <w:t>（四）优先选用低噪声设备，合理布局，对高噪声污染源采取减振、隔声、降噪措施，东南侧厂界噪声排放执行《工业企业厂界环境噪声排放标准》（GB12348-2008）4类标准，其余侧厂界噪声排放执行《工业企业厂界环境噪声排放标准》（GB12348-2008）2类标准。</w:t>
      </w:r>
    </w:p>
    <w:p w14:paraId="09A5DC7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20" w:lineRule="exact"/>
        <w:ind w:left="0" w:right="0" w:firstLine="640" w:firstLineChars="200"/>
        <w:jc w:val="both"/>
        <w:textAlignment w:val="auto"/>
        <w:rPr>
          <w:rFonts w:hint="eastAsia" w:ascii="仿宋_GB2312" w:hAnsi="Times New Roman" w:eastAsia="仿宋_GB2312" w:cs="宋体"/>
          <w:kern w:val="0"/>
          <w:sz w:val="32"/>
          <w:szCs w:val="32"/>
          <w:highlight w:val="none"/>
          <w:lang w:val="en-US" w:eastAsia="zh-CN" w:bidi="ar"/>
        </w:rPr>
      </w:pPr>
      <w:r>
        <w:rPr>
          <w:rFonts w:hint="eastAsia" w:ascii="仿宋_GB2312" w:hAnsi="Times New Roman" w:eastAsia="仿宋_GB2312" w:cs="宋体"/>
          <w:kern w:val="0"/>
          <w:sz w:val="32"/>
          <w:szCs w:val="32"/>
          <w:highlight w:val="none"/>
          <w:lang w:val="en-US" w:eastAsia="zh-CN" w:bidi="ar"/>
        </w:rPr>
        <w:t>（五）废机油、废油桶、废活性炭等危险废物分类暂存于厂区危废仓库内，并委托有资质单位收集处置。危险废物贮存执行《危险废物贮存污染控制标准》（GB18597-2023）要求，转移管理执行《危险废物转移管理办法》（部令第23号）相关规定。废包装材料、废空气滤芯、废布袋、粉尘、废树脂、沉渣等一般工业固体废物委托有资质单位处置；生活垃圾定点分类收集，由环卫部门统一清运。</w:t>
      </w:r>
    </w:p>
    <w:p w14:paraId="1A09D65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20" w:lineRule="exact"/>
        <w:ind w:left="0" w:right="0" w:firstLine="640" w:firstLineChars="200"/>
        <w:jc w:val="both"/>
        <w:textAlignment w:val="auto"/>
        <w:rPr>
          <w:rFonts w:hint="eastAsia" w:ascii="仿宋_GB2312" w:hAnsi="Times New Roman" w:eastAsia="仿宋_GB2312" w:cs="宋体"/>
          <w:kern w:val="0"/>
          <w:sz w:val="32"/>
          <w:szCs w:val="32"/>
          <w:highlight w:val="yellow"/>
          <w:lang w:val="en-US" w:eastAsia="zh-CN" w:bidi="ar"/>
        </w:rPr>
      </w:pPr>
      <w:r>
        <w:rPr>
          <w:rFonts w:hint="eastAsia" w:ascii="仿宋_GB2312" w:hAnsi="Times New Roman" w:eastAsia="仿宋_GB2312" w:cs="宋体"/>
          <w:kern w:val="0"/>
          <w:sz w:val="32"/>
          <w:szCs w:val="32"/>
          <w:highlight w:val="none"/>
          <w:lang w:val="en-US" w:eastAsia="zh-CN" w:bidi="ar"/>
        </w:rPr>
        <w:t>（六）项目应配套建设不低于240m</w:t>
      </w:r>
      <w:r>
        <w:rPr>
          <w:rFonts w:hint="eastAsia" w:ascii="仿宋_GB2312" w:hAnsi="Times New Roman" w:eastAsia="仿宋_GB2312" w:cs="宋体"/>
          <w:kern w:val="0"/>
          <w:sz w:val="32"/>
          <w:szCs w:val="32"/>
          <w:highlight w:val="none"/>
          <w:vertAlign w:val="superscript"/>
          <w:lang w:val="en-US" w:eastAsia="zh-CN" w:bidi="ar"/>
        </w:rPr>
        <w:t>3</w:t>
      </w:r>
      <w:r>
        <w:rPr>
          <w:rFonts w:hint="eastAsia" w:ascii="仿宋_GB2312" w:hAnsi="Times New Roman" w:eastAsia="仿宋_GB2312" w:cs="宋体"/>
          <w:kern w:val="0"/>
          <w:sz w:val="32"/>
          <w:szCs w:val="32"/>
          <w:highlight w:val="none"/>
          <w:lang w:val="en-US" w:eastAsia="zh-CN" w:bidi="ar"/>
        </w:rPr>
        <w:t>容积的环境事故应急池，并配备完善的事故废水拦截、导流、收集设施，事故废水应作为危险废物委托有资质单位转运处理。你司应健全和完善企业的环保管理制度，落实事故应急处置和风险防范措施。及时编制企业突发环境事件应急预案，并与地方政府建立应急联动机制。</w:t>
      </w:r>
    </w:p>
    <w:p w14:paraId="56A1236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20" w:lineRule="exact"/>
        <w:ind w:left="0" w:right="0" w:firstLine="640" w:firstLineChars="200"/>
        <w:jc w:val="both"/>
        <w:textAlignment w:val="auto"/>
        <w:rPr>
          <w:rFonts w:hint="eastAsia" w:ascii="仿宋_GB2312" w:hAnsi="Times New Roman" w:eastAsia="仿宋_GB2312" w:cs="宋体"/>
          <w:kern w:val="0"/>
          <w:sz w:val="32"/>
          <w:szCs w:val="32"/>
          <w:highlight w:val="none"/>
          <w:lang w:val="en-US" w:eastAsia="zh-CN" w:bidi="ar"/>
        </w:rPr>
      </w:pPr>
      <w:r>
        <w:rPr>
          <w:rFonts w:hint="eastAsia" w:ascii="仿宋_GB2312" w:hAnsi="Times New Roman" w:eastAsia="仿宋_GB2312" w:cs="宋体"/>
          <w:kern w:val="0"/>
          <w:sz w:val="32"/>
          <w:szCs w:val="32"/>
          <w:highlight w:val="none"/>
          <w:lang w:val="en-US" w:eastAsia="zh-CN" w:bidi="ar"/>
        </w:rPr>
        <w:t>三、本项目新增主要污染物排放总量控制要求为：二氧化硫0.144吨/年、氮氧化物0.674吨/年。</w:t>
      </w:r>
      <w:r>
        <w:rPr>
          <w:rFonts w:hint="eastAsia" w:ascii="仿宋_GB2312" w:hAnsi="Times New Roman" w:eastAsia="仿宋_GB2312" w:cs="宋体"/>
          <w:strike w:val="0"/>
          <w:dstrike w:val="0"/>
          <w:kern w:val="0"/>
          <w:sz w:val="32"/>
          <w:szCs w:val="32"/>
          <w:highlight w:val="none"/>
          <w:lang w:val="en-US" w:eastAsia="zh-CN" w:bidi="ar"/>
        </w:rPr>
        <w:t>所需的主要污染物排放总量指标应在项目投产前通过排污权交易获得。项目改扩建后全厂主要污染物排放总量控制要求为:</w:t>
      </w:r>
      <w:r>
        <w:rPr>
          <w:rFonts w:hint="eastAsia" w:ascii="仿宋_GB2312" w:hAnsi="Times New Roman" w:eastAsia="仿宋_GB2312" w:cs="宋体"/>
          <w:kern w:val="0"/>
          <w:sz w:val="32"/>
          <w:szCs w:val="32"/>
          <w:highlight w:val="none"/>
          <w:lang w:val="en-US" w:eastAsia="zh-CN" w:bidi="ar"/>
        </w:rPr>
        <w:t>二氧化硫0.144吨/年、氮氧化物0.674吨/年。</w:t>
      </w:r>
    </w:p>
    <w:p w14:paraId="70755FB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20" w:lineRule="exact"/>
        <w:ind w:left="0" w:right="0" w:firstLine="640" w:firstLineChars="200"/>
        <w:jc w:val="both"/>
        <w:textAlignment w:val="auto"/>
        <w:rPr>
          <w:rFonts w:hint="eastAsia" w:ascii="仿宋_GB2312" w:hAnsi="Times New Roman" w:eastAsia="仿宋_GB2312" w:cs="宋体"/>
          <w:kern w:val="0"/>
          <w:sz w:val="32"/>
          <w:szCs w:val="32"/>
          <w:highlight w:val="none"/>
          <w:lang w:val="en-US" w:eastAsia="zh-CN" w:bidi="ar"/>
        </w:rPr>
      </w:pPr>
      <w:r>
        <w:rPr>
          <w:rFonts w:hint="eastAsia" w:ascii="仿宋_GB2312" w:hAnsi="Times New Roman" w:eastAsia="仿宋_GB2312" w:cs="宋体"/>
          <w:kern w:val="0"/>
          <w:sz w:val="32"/>
          <w:szCs w:val="32"/>
          <w:highlight w:val="none"/>
          <w:lang w:val="en-US" w:eastAsia="zh-CN" w:bidi="ar"/>
        </w:rPr>
        <w:t>四、《报告表》批准后，如建设项目的性质、规模、地点、采用的生产工艺或者防治污染、防止生态破坏的措施发生重大变动的，应当依法重新报批项目环评。《报告表》自批准之日起满5年，项目方开工建设的，其环评文件应当依法报我局重新审核。</w:t>
      </w:r>
    </w:p>
    <w:p w14:paraId="34377EF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20" w:lineRule="exact"/>
        <w:ind w:left="0" w:right="0" w:firstLine="640" w:firstLineChars="200"/>
        <w:jc w:val="both"/>
        <w:textAlignment w:val="auto"/>
        <w:rPr>
          <w:rFonts w:hint="eastAsia" w:ascii="仿宋_GB2312" w:hAnsi="Times New Roman" w:eastAsia="仿宋_GB2312" w:cs="宋体"/>
          <w:kern w:val="0"/>
          <w:sz w:val="32"/>
          <w:szCs w:val="32"/>
          <w:highlight w:val="none"/>
          <w:lang w:val="en-US" w:eastAsia="zh-CN" w:bidi="ar"/>
        </w:rPr>
      </w:pPr>
      <w:r>
        <w:rPr>
          <w:rFonts w:hint="eastAsia" w:ascii="仿宋_GB2312" w:hAnsi="Times New Roman" w:eastAsia="仿宋_GB2312" w:cs="宋体"/>
          <w:kern w:val="0"/>
          <w:sz w:val="32"/>
          <w:szCs w:val="32"/>
          <w:highlight w:val="none"/>
          <w:lang w:val="en-US" w:eastAsia="zh-CN" w:bidi="ar"/>
        </w:rPr>
        <w:t>五、项目建设应严格执行环境保护“三同时”制度，投入生产并产生实际排污行为之前，你司应认真梳理并确认各项环境保护措施落实，</w:t>
      </w:r>
      <w:r>
        <w:rPr>
          <w:rFonts w:hint="eastAsia" w:ascii="仿宋_GB2312" w:hAnsi="Times New Roman" w:eastAsia="仿宋_GB2312" w:cs="宋体"/>
          <w:color w:val="000000" w:themeColor="text1"/>
          <w:kern w:val="0"/>
          <w:sz w:val="32"/>
          <w:szCs w:val="32"/>
          <w:highlight w:val="none"/>
          <w:lang w:val="en-US" w:eastAsia="zh-CN" w:bidi="ar"/>
          <w14:textFill>
            <w14:solidFill>
              <w14:schemeClr w14:val="tx1"/>
            </w14:solidFill>
          </w14:textFill>
        </w:rPr>
        <w:t>重新进行排污许可登记。</w:t>
      </w:r>
      <w:r>
        <w:rPr>
          <w:rFonts w:hint="eastAsia" w:ascii="仿宋_GB2312" w:hAnsi="Times New Roman" w:eastAsia="仿宋_GB2312" w:cs="宋体"/>
          <w:kern w:val="0"/>
          <w:sz w:val="32"/>
          <w:szCs w:val="32"/>
          <w:highlight w:val="none"/>
          <w:lang w:val="en-US" w:eastAsia="zh-CN" w:bidi="ar"/>
        </w:rPr>
        <w:t>项目投入生产后，应依法组织开展竣工环保自主验收。</w:t>
      </w:r>
    </w:p>
    <w:p w14:paraId="6C2A637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20" w:lineRule="exact"/>
        <w:ind w:left="0" w:right="0" w:firstLine="640" w:firstLineChars="200"/>
        <w:jc w:val="both"/>
        <w:textAlignment w:val="auto"/>
        <w:rPr>
          <w:rFonts w:hint="eastAsia"/>
          <w:lang w:val="en-US"/>
        </w:rPr>
      </w:pPr>
      <w:r>
        <w:rPr>
          <w:rFonts w:hint="eastAsia" w:ascii="仿宋_GB2312" w:hAnsi="Times New Roman" w:eastAsia="仿宋_GB2312" w:cs="宋体"/>
          <w:kern w:val="0"/>
          <w:sz w:val="32"/>
          <w:szCs w:val="32"/>
          <w:highlight w:val="none"/>
          <w:lang w:val="en-US" w:eastAsia="zh-CN" w:bidi="ar"/>
        </w:rPr>
        <w:t>六、我局委托福州市生态环境保护综合执法支队开展该项目环保“三同时”监督检查，由福州市福清生态环境局负责该项目日常环保监督管理工作。</w:t>
      </w:r>
    </w:p>
    <w:p w14:paraId="6BBCEB22">
      <w:pPr>
        <w:rPr>
          <w:rFonts w:hint="eastAsia"/>
          <w:lang w:eastAsia="zh-CN"/>
        </w:rPr>
      </w:pPr>
    </w:p>
    <w:p w14:paraId="22F69917">
      <w:pPr>
        <w:pStyle w:val="7"/>
        <w:keepNext w:val="0"/>
        <w:keepLines w:val="0"/>
        <w:pageBreakBefore w:val="0"/>
        <w:widowControl/>
        <w:kinsoku/>
        <w:wordWrap/>
        <w:overflowPunct/>
        <w:topLinePunct w:val="0"/>
        <w:autoSpaceDE/>
        <w:autoSpaceDN/>
        <w:bidi w:val="0"/>
        <w:adjustRightInd/>
        <w:snapToGrid w:val="0"/>
        <w:spacing w:line="520" w:lineRule="exact"/>
        <w:ind w:right="1170" w:rightChars="557"/>
        <w:jc w:val="right"/>
        <w:textAlignment w:val="auto"/>
        <w:rPr>
          <w:rFonts w:hint="eastAsia" w:ascii="仿宋_GB2312" w:eastAsia="仿宋_GB2312" w:cs="仿宋_GB2312"/>
          <w:highlight w:val="none"/>
          <w:lang w:eastAsia="zh-CN"/>
        </w:rPr>
      </w:pPr>
    </w:p>
    <w:p w14:paraId="72A3C103">
      <w:pPr>
        <w:pStyle w:val="7"/>
        <w:keepNext w:val="0"/>
        <w:keepLines w:val="0"/>
        <w:pageBreakBefore w:val="0"/>
        <w:widowControl/>
        <w:kinsoku/>
        <w:wordWrap/>
        <w:overflowPunct/>
        <w:topLinePunct w:val="0"/>
        <w:autoSpaceDE/>
        <w:autoSpaceDN/>
        <w:bidi w:val="0"/>
        <w:adjustRightInd/>
        <w:snapToGrid w:val="0"/>
        <w:spacing w:line="520" w:lineRule="exact"/>
        <w:ind w:right="1170" w:rightChars="557"/>
        <w:jc w:val="right"/>
        <w:textAlignment w:val="auto"/>
        <w:rPr>
          <w:rFonts w:hint="eastAsia" w:ascii="仿宋_GB2312" w:eastAsia="仿宋_GB2312" w:cs="仿宋_GB2312"/>
          <w:highlight w:val="none"/>
          <w:lang w:val="en-US"/>
        </w:rPr>
      </w:pPr>
      <w:r>
        <w:rPr>
          <w:rFonts w:hint="eastAsia" w:ascii="仿宋_GB2312" w:eastAsia="仿宋_GB2312" w:cs="仿宋_GB2312"/>
          <w:highlight w:val="none"/>
          <w:lang w:eastAsia="zh-CN"/>
        </w:rPr>
        <w:t>福州市生态环境局</w:t>
      </w:r>
    </w:p>
    <w:p w14:paraId="18E57B7C">
      <w:pPr>
        <w:pStyle w:val="7"/>
        <w:keepNext w:val="0"/>
        <w:keepLines w:val="0"/>
        <w:pageBreakBefore w:val="0"/>
        <w:widowControl/>
        <w:kinsoku/>
        <w:wordWrap/>
        <w:overflowPunct/>
        <w:topLinePunct w:val="0"/>
        <w:autoSpaceDE/>
        <w:autoSpaceDN/>
        <w:bidi w:val="0"/>
        <w:adjustRightInd/>
        <w:snapToGrid w:val="0"/>
        <w:spacing w:line="520" w:lineRule="exact"/>
        <w:ind w:right="1170" w:rightChars="557"/>
        <w:jc w:val="right"/>
        <w:textAlignment w:val="auto"/>
        <w:rPr>
          <w:rFonts w:hint="eastAsia" w:ascii="仿宋_GB2312" w:eastAsia="仿宋_GB2312" w:cs="仿宋_GB2312"/>
          <w:highlight w:val="none"/>
          <w:lang w:eastAsia="zh-CN"/>
        </w:rPr>
      </w:pPr>
      <w:r>
        <w:rPr>
          <w:rFonts w:hint="eastAsia" w:ascii="仿宋_GB2312" w:eastAsia="仿宋_GB2312" w:cs="仿宋_GB2312"/>
          <w:highlight w:val="none"/>
          <w:lang w:val="en-US"/>
        </w:rPr>
        <w:t>20</w:t>
      </w:r>
      <w:r>
        <w:rPr>
          <w:rFonts w:hint="eastAsia" w:ascii="仿宋_GB2312" w:eastAsia="仿宋_GB2312" w:cs="仿宋_GB2312"/>
          <w:highlight w:val="none"/>
          <w:lang w:val="en-US" w:eastAsia="zh-CN"/>
        </w:rPr>
        <w:t>25</w:t>
      </w:r>
      <w:r>
        <w:rPr>
          <w:rFonts w:hint="eastAsia" w:ascii="仿宋_GB2312" w:eastAsia="仿宋_GB2312" w:cs="仿宋_GB2312"/>
          <w:highlight w:val="none"/>
          <w:lang w:eastAsia="zh-CN"/>
        </w:rPr>
        <w:t>年</w:t>
      </w:r>
      <w:r>
        <w:rPr>
          <w:rFonts w:hint="eastAsia" w:ascii="仿宋_GB2312" w:eastAsia="仿宋_GB2312" w:cs="仿宋_GB2312"/>
          <w:highlight w:val="none"/>
          <w:lang w:val="en-US" w:eastAsia="zh-CN"/>
        </w:rPr>
        <w:t>7</w:t>
      </w:r>
      <w:r>
        <w:rPr>
          <w:rFonts w:hint="eastAsia" w:ascii="仿宋_GB2312" w:eastAsia="仿宋_GB2312" w:cs="仿宋_GB2312"/>
          <w:highlight w:val="none"/>
          <w:lang w:eastAsia="zh-CN"/>
        </w:rPr>
        <w:t>月</w:t>
      </w:r>
      <w:r>
        <w:rPr>
          <w:rFonts w:hint="eastAsia" w:ascii="仿宋_GB2312" w:eastAsia="仿宋_GB2312" w:cs="仿宋_GB2312"/>
          <w:highlight w:val="none"/>
          <w:lang w:val="en-US" w:eastAsia="zh-CN"/>
        </w:rPr>
        <w:t>28</w:t>
      </w:r>
      <w:r>
        <w:rPr>
          <w:rFonts w:hint="eastAsia" w:ascii="仿宋_GB2312" w:eastAsia="仿宋_GB2312" w:cs="仿宋_GB2312"/>
          <w:highlight w:val="none"/>
          <w:lang w:eastAsia="zh-CN"/>
        </w:rPr>
        <w:t>日</w:t>
      </w:r>
    </w:p>
    <w:p w14:paraId="01D232BF">
      <w:pPr>
        <w:rPr>
          <w:rFonts w:hint="eastAsia"/>
          <w:lang w:eastAsia="zh-CN"/>
        </w:rPr>
      </w:pPr>
    </w:p>
    <w:p w14:paraId="0EB2122F">
      <w:pPr>
        <w:keepNext w:val="0"/>
        <w:keepLines w:val="0"/>
        <w:widowControl w:val="0"/>
        <w:suppressLineNumbers w:val="0"/>
        <w:snapToGrid w:val="0"/>
        <w:spacing w:before="0" w:beforeAutospacing="0" w:after="0" w:afterAutospacing="0"/>
        <w:ind w:left="0" w:right="0"/>
        <w:jc w:val="both"/>
        <w:rPr>
          <w:rFonts w:hint="eastAsia" w:ascii="仿宋_GB2312" w:eastAsia="仿宋_GB2312" w:cs="仿宋_GB2312"/>
          <w:highlight w:val="none"/>
          <w:lang w:val="en-US"/>
        </w:rPr>
      </w:pPr>
    </w:p>
    <w:tbl>
      <w:tblPr>
        <w:tblStyle w:val="12"/>
        <w:tblW w:w="87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55"/>
        <w:gridCol w:w="3885"/>
        <w:gridCol w:w="3675"/>
      </w:tblGrid>
      <w:tr w14:paraId="2011F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500" w:hRule="atLeast"/>
        </w:trPr>
        <w:tc>
          <w:tcPr>
            <w:tcW w:w="1155" w:type="dxa"/>
            <w:tcBorders>
              <w:top w:val="single" w:color="auto" w:sz="4" w:space="0"/>
              <w:left w:val="nil"/>
              <w:bottom w:val="single" w:color="auto" w:sz="4" w:space="0"/>
              <w:right w:val="nil"/>
            </w:tcBorders>
            <w:shd w:val="clear" w:color="auto" w:fill="auto"/>
            <w:vAlign w:val="center"/>
          </w:tcPr>
          <w:p w14:paraId="4FB0A0DD">
            <w:pPr>
              <w:keepNext w:val="0"/>
              <w:keepLines w:val="0"/>
              <w:widowControl w:val="0"/>
              <w:suppressLineNumbers w:val="0"/>
              <w:tabs>
                <w:tab w:val="left" w:pos="3885"/>
              </w:tabs>
              <w:spacing w:before="0" w:beforeAutospacing="0" w:after="0" w:afterAutospacing="0"/>
              <w:ind w:left="0" w:right="0" w:firstLine="179" w:firstLineChars="64"/>
              <w:jc w:val="both"/>
              <w:rPr>
                <w:rFonts w:hint="eastAsia" w:ascii="仿宋_GB2312" w:eastAsia="仿宋_GB2312" w:cs="仿宋_GB2312"/>
                <w:sz w:val="28"/>
                <w:szCs w:val="28"/>
                <w:highlight w:val="none"/>
                <w:lang w:val="en-US"/>
              </w:rPr>
            </w:pPr>
            <w:r>
              <w:rPr>
                <w:rFonts w:hint="eastAsia" w:ascii="仿宋_GB2312" w:hAnsi="Times New Roman" w:eastAsia="仿宋_GB2312" w:cs="仿宋_GB2312"/>
                <w:kern w:val="2"/>
                <w:sz w:val="28"/>
                <w:szCs w:val="28"/>
                <w:highlight w:val="none"/>
                <w:lang w:val="en-US" w:eastAsia="zh-CN" w:bidi="ar"/>
              </w:rPr>
              <w:t>抄送：</w:t>
            </w:r>
          </w:p>
        </w:tc>
        <w:tc>
          <w:tcPr>
            <w:tcW w:w="7560" w:type="dxa"/>
            <w:gridSpan w:val="2"/>
            <w:tcBorders>
              <w:top w:val="single" w:color="auto" w:sz="4" w:space="0"/>
              <w:left w:val="nil"/>
              <w:bottom w:val="single" w:color="auto" w:sz="4" w:space="0"/>
              <w:right w:val="nil"/>
            </w:tcBorders>
            <w:shd w:val="clear" w:color="auto" w:fill="auto"/>
            <w:vAlign w:val="center"/>
          </w:tcPr>
          <w:p w14:paraId="38EF3509">
            <w:pPr>
              <w:keepNext w:val="0"/>
              <w:keepLines w:val="0"/>
              <w:widowControl w:val="0"/>
              <w:suppressLineNumbers w:val="0"/>
              <w:tabs>
                <w:tab w:val="left" w:pos="3885"/>
              </w:tabs>
              <w:spacing w:before="0" w:beforeAutospacing="0" w:after="0" w:afterAutospacing="0"/>
              <w:ind w:left="0" w:right="0"/>
              <w:jc w:val="both"/>
              <w:rPr>
                <w:rFonts w:hint="eastAsia" w:ascii="仿宋_GB2312" w:eastAsia="仿宋_GB2312" w:cs="仿宋_GB2312"/>
                <w:sz w:val="28"/>
                <w:szCs w:val="28"/>
                <w:highlight w:val="none"/>
                <w:lang w:val="en-US"/>
              </w:rPr>
            </w:pPr>
            <w:r>
              <w:rPr>
                <w:rFonts w:hint="eastAsia" w:ascii="仿宋_GB2312" w:hAnsi="Times New Roman" w:eastAsia="仿宋_GB2312" w:cs="仿宋_GB2312"/>
                <w:kern w:val="2"/>
                <w:sz w:val="28"/>
                <w:szCs w:val="20"/>
                <w:highlight w:val="none"/>
                <w:lang w:val="en-US" w:eastAsia="zh-CN" w:bidi="ar"/>
              </w:rPr>
              <w:t>福州市生态环境保护综合执法支队，福州市福清生态环境局，闽环（福建）环境科技有限公司。</w:t>
            </w:r>
          </w:p>
        </w:tc>
      </w:tr>
      <w:tr w14:paraId="71CD3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040" w:type="dxa"/>
            <w:gridSpan w:val="2"/>
            <w:tcBorders>
              <w:top w:val="single" w:color="auto" w:sz="4" w:space="0"/>
              <w:left w:val="nil"/>
              <w:bottom w:val="single" w:color="auto" w:sz="4" w:space="0"/>
              <w:right w:val="nil"/>
            </w:tcBorders>
            <w:shd w:val="clear" w:color="auto" w:fill="auto"/>
            <w:vAlign w:val="center"/>
          </w:tcPr>
          <w:p w14:paraId="739E956F">
            <w:pPr>
              <w:keepNext w:val="0"/>
              <w:keepLines w:val="0"/>
              <w:widowControl w:val="0"/>
              <w:suppressLineNumbers w:val="0"/>
              <w:tabs>
                <w:tab w:val="left" w:pos="3885"/>
              </w:tabs>
              <w:spacing w:before="0" w:beforeAutospacing="0" w:after="0" w:afterAutospacing="0"/>
              <w:ind w:left="0" w:right="0" w:firstLine="179" w:firstLineChars="64"/>
              <w:jc w:val="both"/>
              <w:rPr>
                <w:rFonts w:eastAsia="仿宋_GB2312"/>
                <w:sz w:val="28"/>
                <w:szCs w:val="28"/>
                <w:highlight w:val="none"/>
                <w:lang w:val="en-US"/>
              </w:rPr>
            </w:pPr>
            <w:r>
              <w:rPr>
                <w:rFonts w:hint="eastAsia" w:ascii="仿宋_GB2312" w:hAnsi="Times New Roman" w:eastAsia="仿宋_GB2312" w:cs="仿宋_GB2312"/>
                <w:kern w:val="2"/>
                <w:sz w:val="28"/>
                <w:szCs w:val="28"/>
                <w:highlight w:val="none"/>
                <w:lang w:val="en-US" w:eastAsia="zh-CN" w:bidi="ar"/>
              </w:rPr>
              <w:t>福州市生态环境局</w:t>
            </w:r>
          </w:p>
        </w:tc>
        <w:tc>
          <w:tcPr>
            <w:tcW w:w="3675" w:type="dxa"/>
            <w:tcBorders>
              <w:top w:val="single" w:color="auto" w:sz="4" w:space="0"/>
              <w:left w:val="nil"/>
              <w:bottom w:val="single" w:color="auto" w:sz="4" w:space="0"/>
              <w:right w:val="nil"/>
            </w:tcBorders>
            <w:shd w:val="clear" w:color="auto" w:fill="auto"/>
            <w:vAlign w:val="center"/>
          </w:tcPr>
          <w:p w14:paraId="40EAC90D">
            <w:pPr>
              <w:keepNext w:val="0"/>
              <w:keepLines w:val="0"/>
              <w:widowControl w:val="0"/>
              <w:suppressLineNumbers w:val="0"/>
              <w:tabs>
                <w:tab w:val="left" w:pos="3882"/>
                <w:tab w:val="left" w:pos="3987"/>
              </w:tabs>
              <w:spacing w:before="0" w:beforeAutospacing="0" w:after="0" w:afterAutospacing="0"/>
              <w:ind w:left="0" w:right="311" w:rightChars="148"/>
              <w:jc w:val="right"/>
              <w:rPr>
                <w:rFonts w:eastAsia="仿宋_GB2312"/>
                <w:sz w:val="28"/>
                <w:szCs w:val="28"/>
                <w:highlight w:val="none"/>
                <w:lang w:val="en-US"/>
              </w:rPr>
            </w:pPr>
            <w:r>
              <w:rPr>
                <w:rFonts w:hint="eastAsia" w:ascii="仿宋_GB2312" w:hAnsi="Times New Roman" w:eastAsia="仿宋_GB2312" w:cs="仿宋_GB2312"/>
                <w:kern w:val="2"/>
                <w:sz w:val="28"/>
                <w:szCs w:val="28"/>
                <w:highlight w:val="none"/>
                <w:lang w:val="en-US" w:eastAsia="zh-CN" w:bidi="ar"/>
              </w:rPr>
              <w:t>2025年7月28</w:t>
            </w:r>
            <w:bookmarkStart w:id="1" w:name="_GoBack"/>
            <w:bookmarkEnd w:id="1"/>
            <w:r>
              <w:rPr>
                <w:rFonts w:hint="eastAsia" w:ascii="仿宋_GB2312" w:hAnsi="Times New Roman" w:eastAsia="仿宋_GB2312" w:cs="仿宋_GB2312"/>
                <w:kern w:val="2"/>
                <w:sz w:val="28"/>
                <w:szCs w:val="28"/>
                <w:highlight w:val="none"/>
                <w:lang w:val="en-US" w:eastAsia="zh-CN" w:bidi="ar"/>
              </w:rPr>
              <w:t>日印发</w:t>
            </w:r>
          </w:p>
        </w:tc>
      </w:tr>
      <w:tr w14:paraId="1BA35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55" w:type="dxa"/>
            <w:tcBorders>
              <w:top w:val="nil"/>
              <w:left w:val="nil"/>
              <w:bottom w:val="nil"/>
              <w:right w:val="nil"/>
            </w:tcBorders>
            <w:shd w:val="clear" w:color="auto" w:fill="auto"/>
            <w:vAlign w:val="center"/>
          </w:tcPr>
          <w:p w14:paraId="37279A3A">
            <w:pPr>
              <w:rPr>
                <w:rFonts w:hint="eastAsia" w:ascii="宋体"/>
                <w:sz w:val="24"/>
                <w:szCs w:val="24"/>
                <w:highlight w:val="none"/>
              </w:rPr>
            </w:pPr>
          </w:p>
        </w:tc>
        <w:tc>
          <w:tcPr>
            <w:tcW w:w="3885" w:type="dxa"/>
            <w:tcBorders>
              <w:top w:val="nil"/>
              <w:left w:val="nil"/>
              <w:bottom w:val="nil"/>
              <w:right w:val="nil"/>
            </w:tcBorders>
            <w:shd w:val="clear" w:color="auto" w:fill="auto"/>
            <w:vAlign w:val="center"/>
          </w:tcPr>
          <w:p w14:paraId="0901315A">
            <w:pPr>
              <w:rPr>
                <w:rFonts w:hint="eastAsia" w:ascii="宋体"/>
                <w:sz w:val="24"/>
                <w:szCs w:val="24"/>
                <w:highlight w:val="none"/>
              </w:rPr>
            </w:pPr>
          </w:p>
        </w:tc>
        <w:tc>
          <w:tcPr>
            <w:tcW w:w="3675" w:type="dxa"/>
            <w:tcBorders>
              <w:top w:val="nil"/>
              <w:left w:val="nil"/>
              <w:bottom w:val="nil"/>
              <w:right w:val="nil"/>
            </w:tcBorders>
            <w:shd w:val="clear" w:color="auto" w:fill="auto"/>
            <w:vAlign w:val="center"/>
          </w:tcPr>
          <w:p w14:paraId="0D5C3434">
            <w:pPr>
              <w:rPr>
                <w:rFonts w:hint="eastAsia" w:ascii="宋体"/>
                <w:sz w:val="24"/>
                <w:szCs w:val="24"/>
                <w:highlight w:val="none"/>
              </w:rPr>
            </w:pPr>
          </w:p>
        </w:tc>
      </w:tr>
    </w:tbl>
    <w:p w14:paraId="5F29B633">
      <w:pPr>
        <w:rPr>
          <w:highlight w:val="none"/>
        </w:rPr>
      </w:pPr>
    </w:p>
    <w:sectPr>
      <w:footerReference r:id="rId3" w:type="default"/>
      <w:pgSz w:w="11906" w:h="16838"/>
      <w:pgMar w:top="1701" w:right="1587" w:bottom="1417" w:left="158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63480">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2D1E71">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22D1E71">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wMmU4YmM1MTQ3ZDUyOWQxMDA5OGU4MmQ5YTNiMDAifQ=="/>
  </w:docVars>
  <w:rsids>
    <w:rsidRoot w:val="2A7F762B"/>
    <w:rsid w:val="00D055EE"/>
    <w:rsid w:val="01DD6FC1"/>
    <w:rsid w:val="04B97894"/>
    <w:rsid w:val="076B63F8"/>
    <w:rsid w:val="07B76A03"/>
    <w:rsid w:val="08877123"/>
    <w:rsid w:val="09194B83"/>
    <w:rsid w:val="097912D2"/>
    <w:rsid w:val="0A0259D4"/>
    <w:rsid w:val="0A537496"/>
    <w:rsid w:val="0A7B2C42"/>
    <w:rsid w:val="0D9C4648"/>
    <w:rsid w:val="0EBC0E2F"/>
    <w:rsid w:val="0F5302A6"/>
    <w:rsid w:val="0FBE4740"/>
    <w:rsid w:val="123E696C"/>
    <w:rsid w:val="12D0457D"/>
    <w:rsid w:val="12D23BBF"/>
    <w:rsid w:val="1339568F"/>
    <w:rsid w:val="15B63938"/>
    <w:rsid w:val="16342284"/>
    <w:rsid w:val="16C049E6"/>
    <w:rsid w:val="17376763"/>
    <w:rsid w:val="17C02571"/>
    <w:rsid w:val="185C0C0F"/>
    <w:rsid w:val="19F13A89"/>
    <w:rsid w:val="1A07082D"/>
    <w:rsid w:val="1A2D6D57"/>
    <w:rsid w:val="20835F2C"/>
    <w:rsid w:val="208F6B19"/>
    <w:rsid w:val="213F3844"/>
    <w:rsid w:val="219278A5"/>
    <w:rsid w:val="23D1267C"/>
    <w:rsid w:val="23ED5533"/>
    <w:rsid w:val="264F7B2D"/>
    <w:rsid w:val="26F17F87"/>
    <w:rsid w:val="26FA4A88"/>
    <w:rsid w:val="27DE6D96"/>
    <w:rsid w:val="28A86FC8"/>
    <w:rsid w:val="2A021261"/>
    <w:rsid w:val="2A7F762B"/>
    <w:rsid w:val="2C7B0035"/>
    <w:rsid w:val="2CAD0908"/>
    <w:rsid w:val="2CB668AB"/>
    <w:rsid w:val="2E214D74"/>
    <w:rsid w:val="2F652F3C"/>
    <w:rsid w:val="306223AB"/>
    <w:rsid w:val="31DF7D29"/>
    <w:rsid w:val="32432891"/>
    <w:rsid w:val="344B15E7"/>
    <w:rsid w:val="34565CE1"/>
    <w:rsid w:val="34B92A27"/>
    <w:rsid w:val="353A30CF"/>
    <w:rsid w:val="396A64FB"/>
    <w:rsid w:val="396B7625"/>
    <w:rsid w:val="3B0F3019"/>
    <w:rsid w:val="3C210969"/>
    <w:rsid w:val="3C461732"/>
    <w:rsid w:val="3DB945F5"/>
    <w:rsid w:val="3EA576B9"/>
    <w:rsid w:val="3F542FD5"/>
    <w:rsid w:val="402C102B"/>
    <w:rsid w:val="41976E73"/>
    <w:rsid w:val="438B4B5B"/>
    <w:rsid w:val="43CA10AF"/>
    <w:rsid w:val="45314B84"/>
    <w:rsid w:val="45F92FCA"/>
    <w:rsid w:val="47A65DB9"/>
    <w:rsid w:val="47C411B6"/>
    <w:rsid w:val="49014440"/>
    <w:rsid w:val="49641AB4"/>
    <w:rsid w:val="4A69668E"/>
    <w:rsid w:val="4A810DC1"/>
    <w:rsid w:val="4B2126A9"/>
    <w:rsid w:val="4B456184"/>
    <w:rsid w:val="4B997BD4"/>
    <w:rsid w:val="4BC03622"/>
    <w:rsid w:val="4C547C35"/>
    <w:rsid w:val="4CD339FE"/>
    <w:rsid w:val="4DB67CDD"/>
    <w:rsid w:val="4E576091"/>
    <w:rsid w:val="4ED41923"/>
    <w:rsid w:val="5328504E"/>
    <w:rsid w:val="53325C92"/>
    <w:rsid w:val="533A7710"/>
    <w:rsid w:val="55473069"/>
    <w:rsid w:val="56DD30D8"/>
    <w:rsid w:val="5773682D"/>
    <w:rsid w:val="59790483"/>
    <w:rsid w:val="5A626A26"/>
    <w:rsid w:val="5AB30E80"/>
    <w:rsid w:val="5BC855A2"/>
    <w:rsid w:val="5CB956CE"/>
    <w:rsid w:val="5CEA2053"/>
    <w:rsid w:val="5D8466D6"/>
    <w:rsid w:val="5DF8536F"/>
    <w:rsid w:val="61464082"/>
    <w:rsid w:val="61AC3705"/>
    <w:rsid w:val="61BD2347"/>
    <w:rsid w:val="62BE15FB"/>
    <w:rsid w:val="64856EDB"/>
    <w:rsid w:val="674F436D"/>
    <w:rsid w:val="69AA484A"/>
    <w:rsid w:val="6BA34C13"/>
    <w:rsid w:val="6C2A2F12"/>
    <w:rsid w:val="6CA5599E"/>
    <w:rsid w:val="6CC830E5"/>
    <w:rsid w:val="6D0A06B5"/>
    <w:rsid w:val="6D8945FB"/>
    <w:rsid w:val="6E6E2E44"/>
    <w:rsid w:val="6E8B3F62"/>
    <w:rsid w:val="6F460731"/>
    <w:rsid w:val="731146F1"/>
    <w:rsid w:val="73911285"/>
    <w:rsid w:val="747F4DDA"/>
    <w:rsid w:val="749C56FE"/>
    <w:rsid w:val="758F2C99"/>
    <w:rsid w:val="75B546C3"/>
    <w:rsid w:val="75F77103"/>
    <w:rsid w:val="76CA152F"/>
    <w:rsid w:val="783B4C00"/>
    <w:rsid w:val="78940811"/>
    <w:rsid w:val="78BA7585"/>
    <w:rsid w:val="7ADA0326"/>
    <w:rsid w:val="7CC80452"/>
    <w:rsid w:val="7CDA4005"/>
    <w:rsid w:val="7DC97B37"/>
    <w:rsid w:val="7F2E1CFF"/>
    <w:rsid w:val="7FA07A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1"/>
    <w:qFormat/>
    <w:uiPriority w:val="0"/>
    <w:pPr>
      <w:widowControl/>
      <w:snapToGrid w:val="0"/>
      <w:spacing w:before="60" w:after="160" w:line="259" w:lineRule="auto"/>
      <w:ind w:right="113"/>
    </w:pPr>
    <w:rPr>
      <w:kern w:val="0"/>
      <w:sz w:val="18"/>
      <w:szCs w:val="20"/>
    </w:rPr>
  </w:style>
  <w:style w:type="paragraph" w:styleId="6">
    <w:name w:val="Body Text Indent"/>
    <w:basedOn w:val="1"/>
    <w:unhideWhenUsed/>
    <w:qFormat/>
    <w:uiPriority w:val="0"/>
    <w:pPr>
      <w:spacing w:after="120"/>
      <w:ind w:left="420" w:leftChars="200"/>
    </w:pPr>
  </w:style>
  <w:style w:type="paragraph" w:styleId="7">
    <w:name w:val="Date"/>
    <w:basedOn w:val="1"/>
    <w:next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楷体_GB2312" w:cs="Times New Roman"/>
      <w:kern w:val="2"/>
      <w:sz w:val="32"/>
      <w:szCs w:val="20"/>
      <w:lang w:val="en-US" w:eastAsia="zh-CN" w:bidi="ar"/>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w:basedOn w:val="5"/>
    <w:next w:val="1"/>
    <w:qFormat/>
    <w:uiPriority w:val="0"/>
    <w:pPr>
      <w:widowControl w:val="0"/>
      <w:snapToGrid/>
      <w:spacing w:before="0" w:after="120" w:line="240" w:lineRule="auto"/>
      <w:ind w:right="0" w:firstLine="420" w:firstLineChars="100"/>
    </w:pPr>
    <w:rPr>
      <w:kern w:val="2"/>
      <w:sz w:val="21"/>
      <w:szCs w:val="24"/>
    </w:rPr>
  </w:style>
  <w:style w:type="paragraph" w:styleId="11">
    <w:name w:val="Body Text First Indent 2"/>
    <w:basedOn w:val="1"/>
    <w:next w:val="10"/>
    <w:qFormat/>
    <w:uiPriority w:val="0"/>
    <w:pPr>
      <w:spacing w:after="0" w:line="420" w:lineRule="exact"/>
      <w:ind w:left="0" w:leftChars="0" w:firstLine="420"/>
    </w:pPr>
    <w:rPr>
      <w:rFonts w:ascii="仿宋_GB2312" w:eastAsia="Times New Roman"/>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qFormat/>
    <w:uiPriority w:val="0"/>
    <w:rPr>
      <w:sz w:val="21"/>
      <w:szCs w:val="21"/>
    </w:rPr>
  </w:style>
  <w:style w:type="character" w:customStyle="1" w:styleId="16">
    <w:name w:val="5文章(治) Char"/>
    <w:basedOn w:val="14"/>
    <w:qFormat/>
    <w:uiPriority w:val="0"/>
    <w:rPr>
      <w:rFonts w:hint="eastAsia" w:ascii="楷体_GB2312" w:eastAsia="楷体_GB2312" w:cs="楷体_GB2312"/>
      <w:kern w:val="2"/>
      <w:sz w:val="28"/>
      <w:lang w:val="en-US" w:eastAsia="zh-CN" w:bidi="ar"/>
    </w:rPr>
  </w:style>
  <w:style w:type="paragraph" w:customStyle="1" w:styleId="17">
    <w:name w:val="表正文"/>
    <w:basedOn w:val="1"/>
    <w:qFormat/>
    <w:uiPriority w:val="0"/>
    <w:pPr>
      <w:ind w:firstLine="200" w:firstLineChars="200"/>
    </w:pPr>
  </w:style>
  <w:style w:type="paragraph" w:customStyle="1" w:styleId="18">
    <w:name w:val="表格"/>
    <w:next w:val="1"/>
    <w:qFormat/>
    <w:uiPriority w:val="0"/>
    <w:pPr>
      <w:adjustRightInd w:val="0"/>
      <w:snapToGrid w:val="0"/>
      <w:jc w:val="center"/>
    </w:pPr>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2066</Words>
  <Characters>2201</Characters>
  <Lines>0</Lines>
  <Paragraphs>0</Paragraphs>
  <TotalTime>62</TotalTime>
  <ScaleCrop>false</ScaleCrop>
  <LinksUpToDate>false</LinksUpToDate>
  <CharactersWithSpaces>2201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2016-03-09T18:21:00Z</dcterms:created>
  <dc:creator>Yuri</dc:creator>
  <cp:lastModifiedBy>baby</cp:lastModifiedBy>
  <cp:lastPrinted>2024-10-21T19:56:00Z</cp:lastPrinted>
  <dcterms:modified xsi:type="dcterms:W3CDTF">2025-07-21T02:28:05Z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83A6F567F03E42979FB08B02F9DE19AC_13</vt:lpwstr>
  </property>
  <property fmtid="{D5CDD505-2E9C-101B-9397-08002B2CF9AE}" pid="4" name="KSOTemplateDocerSaveRecord">
    <vt:lpwstr>eyJoZGlkIjoiMGQxMGM2NWJlN2Q1ZTkzMWY3Y2U5YTgzOTNjODgxZTIiLCJ1c2VySWQiOiIxMTIzNjQ4OTY3In0=</vt:lpwstr>
  </property>
</Properties>
</file>