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闽科规〔</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w:t>
      </w:r>
    </w:p>
    <w:p>
      <w:pPr>
        <w:jc w:val="center"/>
        <w:rPr>
          <w:rFonts w:hint="eastAsia" w:ascii="仿宋_GB2312" w:hAnsi="仿宋_GB2312" w:eastAsia="仿宋_GB2312" w:cs="仿宋_GB2312"/>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福建省科学技术厅关于印发《福建省国家</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高新技术产业开发区晋位奖励</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实施办法》的通知</w:t>
      </w:r>
    </w:p>
    <w:p>
      <w:pPr>
        <w:jc w:val="center"/>
        <w:rPr>
          <w:rFonts w:hint="eastAsia" w:ascii="宋体" w:hAnsi="宋体" w:eastAsia="宋体" w:cs="宋体"/>
          <w:b/>
          <w:bCs/>
          <w:sz w:val="44"/>
          <w:szCs w:val="44"/>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各设区市科技局，国家高新区管委会：</w:t>
      </w:r>
    </w:p>
    <w:p>
      <w:p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为贯彻落实《国务院关于促进国家高新技</w:t>
      </w:r>
      <w:bookmarkStart w:id="0" w:name="_GoBack"/>
      <w:bookmarkEnd w:id="0"/>
      <w:r>
        <w:rPr>
          <w:rFonts w:hint="eastAsia" w:ascii="仿宋_GB2312" w:hAnsi="仿宋_GB2312" w:eastAsia="仿宋_GB2312" w:cs="仿宋_GB2312"/>
          <w:sz w:val="32"/>
          <w:szCs w:val="32"/>
          <w:lang w:eastAsia="zh-CN"/>
        </w:rPr>
        <w:t>术产业开发区高质量发展的若干意见》（国发〔2020〕7号）和《福建省人民政府关于印发促进高新技术产业开发区高质量发展实施方案的通知》（闽政〔2021〕14号）等文件精神，加快我省高新区高质量发展，推动形成相互竞争、共同进步的良好氛围，结合我省实际，制定了《福建省国家高新技术产业开发区晋位奖励实施办法》，现印发给你们，请认真贯彻执行。</w:t>
      </w: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福建省科学技术厅</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2022年11月9日</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spacing w:line="6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福建省国家高新技术产业开发区</w:t>
      </w:r>
    </w:p>
    <w:p>
      <w:pPr>
        <w:spacing w:line="6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晋位奖励实施办法</w:t>
      </w:r>
    </w:p>
    <w:p>
      <w:pPr>
        <w:spacing w:line="600" w:lineRule="exact"/>
        <w:ind w:firstLine="422" w:firstLineChars="200"/>
        <w:rPr>
          <w:rFonts w:hint="eastAsia" w:ascii="仿宋_GB2312" w:hAnsi="仿宋" w:cs="仿宋"/>
          <w:b/>
          <w:bCs/>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为进一步奖励先进，鼓励创新，营造环境，形成创新创业竞相发展、共同进步的良</w:t>
      </w:r>
      <w:r>
        <w:rPr>
          <w:rFonts w:hint="eastAsia" w:ascii="仿宋_GB2312" w:hAnsi="仿宋_GB2312" w:eastAsia="仿宋_GB2312" w:cs="仿宋_GB2312"/>
          <w:sz w:val="32"/>
          <w:szCs w:val="32"/>
          <w:lang w:eastAsia="zh-CN"/>
        </w:rPr>
        <w:t>好氛围</w:t>
      </w:r>
      <w:r>
        <w:rPr>
          <w:rFonts w:hint="eastAsia" w:ascii="仿宋_GB2312" w:hAnsi="仿宋_GB2312" w:eastAsia="仿宋_GB2312" w:cs="仿宋_GB2312"/>
          <w:sz w:val="32"/>
          <w:szCs w:val="32"/>
        </w:rPr>
        <w:t>，根据《国务院关于促进国家高新技术产业开发区高质量发展的若干意见》（国发〔2020〕7号）和《福建省人民政府关于印发促进高新技术产业开发区高质量发展实施方案的通知》（闽政〔2021〕14号）等文件精神，制定本办法。</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本办法适用对象为福建省国家高新技术产业开发区（以下简称“国家高新区”）。</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晋位奖励排名基数设定：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（一）以《福建省人民政府关于印发促进高新技术产业开发区高质量发展实施方案的通知》（闽政〔2021〕14号）实施年份即2021年为界点，以2021年</w:t>
      </w:r>
      <w:r>
        <w:rPr>
          <w:rFonts w:hint="eastAsia" w:ascii="仿宋_GB2312" w:hAnsi="仿宋_GB2312" w:eastAsia="仿宋_GB2312" w:cs="仿宋_GB2312"/>
          <w:sz w:val="32"/>
          <w:szCs w:val="32"/>
          <w:lang w:eastAsia="zh-CN"/>
        </w:rPr>
        <w:t>公布的</w:t>
      </w:r>
      <w:r>
        <w:rPr>
          <w:rFonts w:hint="eastAsia" w:ascii="仿宋_GB2312" w:hAnsi="仿宋_GB2312" w:eastAsia="仿宋_GB2312" w:cs="仿宋_GB2312"/>
          <w:sz w:val="32"/>
          <w:szCs w:val="32"/>
        </w:rPr>
        <w:t>国家高新区评价排名作为晋位奖励对比基数。首次获</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时的排名将作为下次晋位奖励的对比基数，以此类推。国家高新区排名以</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年科技部火炬中心公布的国家高新区评价排名结果为准；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（二）评价当年若有其他省份未参与国家高新区评价排名，我省国家高新区当年的实际排名应加上上年度其他省份排在我省每个国家高新区前的数量，作为该国家高新区当年评价实际排名；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（三）省级高新区升格为国家高新区后，晋位奖励从进入排名的次年开始。</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奖励标准、资金额度与资金来源：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（一）对全国评价排名在</w:t>
      </w:r>
      <w:r>
        <w:rPr>
          <w:rFonts w:hint="eastAsia" w:ascii="仿宋_GB2312" w:hAnsi="仿宋_GB2312" w:eastAsia="仿宋_GB2312" w:cs="仿宋_GB2312"/>
          <w:sz w:val="32"/>
          <w:szCs w:val="32"/>
          <w:lang w:val="en-US" w:eastAsia="zh-CN"/>
        </w:rPr>
        <w:t>100名（含）以前的</w:t>
      </w:r>
      <w:r>
        <w:rPr>
          <w:rFonts w:hint="eastAsia" w:ascii="仿宋_GB2312" w:hAnsi="仿宋_GB2312" w:eastAsia="仿宋_GB2312" w:cs="仿宋_GB2312"/>
          <w:sz w:val="32"/>
          <w:szCs w:val="32"/>
        </w:rPr>
        <w:t>国家高新区，每晋升一个位次，奖励100万元，封顶300万元；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（二）对全国评价排名在100名</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rPr>
        <w:t>的国家高新区，每晋升一个位次，奖励50万元，封顶150万元；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（三）奖励资金由省科技厅从年度财政预算经费中列支。</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晋位奖励申请条件与流程：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（一）科技部火炬中心</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公开发布国家高新区评价排名结果后，由满足奖励条件的省内国家高新区提出奖励申请</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rPr>
        <w:t>，经所在地设区市科技局审核后，报送省科技厅；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（二）申请晋位奖励的省内国家高新区，</w:t>
      </w:r>
      <w:r>
        <w:rPr>
          <w:rFonts w:hint="eastAsia" w:ascii="仿宋_GB2312" w:hAnsi="仿宋_GB2312" w:eastAsia="仿宋_GB2312" w:cs="仿宋_GB2312"/>
          <w:sz w:val="32"/>
          <w:szCs w:val="32"/>
          <w:lang w:eastAsia="zh-CN"/>
        </w:rPr>
        <w:t>自申报年度上年度的</w:t>
      </w:r>
      <w:r>
        <w:rPr>
          <w:rFonts w:hint="eastAsia" w:ascii="仿宋_GB2312" w:hAnsi="仿宋_GB2312" w:eastAsia="仿宋_GB2312" w:cs="仿宋_GB2312"/>
          <w:sz w:val="32"/>
          <w:szCs w:val="32"/>
          <w:lang w:val="en-US" w:eastAsia="zh-CN"/>
        </w:rPr>
        <w:t>1月1日起至</w:t>
      </w:r>
      <w:r>
        <w:rPr>
          <w:rFonts w:hint="eastAsia" w:ascii="仿宋_GB2312" w:hAnsi="仿宋_GB2312" w:eastAsia="仿宋_GB2312" w:cs="仿宋_GB2312"/>
          <w:sz w:val="32"/>
          <w:szCs w:val="32"/>
          <w:lang w:eastAsia="zh-CN"/>
        </w:rPr>
        <w:t>申报之日止，</w:t>
      </w:r>
      <w:r>
        <w:rPr>
          <w:rFonts w:hint="eastAsia" w:ascii="仿宋_GB2312" w:hAnsi="仿宋_GB2312" w:eastAsia="仿宋_GB2312" w:cs="仿宋_GB2312"/>
          <w:sz w:val="32"/>
          <w:szCs w:val="32"/>
        </w:rPr>
        <w:t>未发生重大生产安全事故、未发生重大环境事件、未发生严重违反土地和建设规划等情况；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（三）省科技厅根据全国高新区评价排名情况，对提出晋位奖励申请的高新区情况进行核实后，制定奖励方案，印发奖励通知。</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奖励资金由高新区自主管理，统筹用于创新发展和园区建设。主要用于支持：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（一）高新区内产业关键核心技术攻关；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（二）高新区科技孵化服务等创新平台建设；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（三）高新区创新型企业引进和培育；</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（四）高新区科技人才引进与培养；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（五）高新区创新创业环境优化和品牌建设等。</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奖励资金使用接受财政、审计、监察等部门的监督检查。</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本办法自发布之日起实施，有效期三年。</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本办法由福建省科技厅负责解释。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600" w:lineRule="exact"/>
        <w:rPr>
          <w:rFonts w:hint="eastAsia" w:ascii="仿宋_GB2312" w:hAnsi="仿宋" w:cs="仿宋"/>
          <w:szCs w:val="32"/>
        </w:rPr>
      </w:pPr>
    </w:p>
    <w:p>
      <w:pPr>
        <w:spacing w:line="520" w:lineRule="exact"/>
        <w:jc w:val="both"/>
        <w:rPr>
          <w:rFonts w:hint="eastAsia" w:ascii="方正小标宋简体" w:eastAsia="方正小标宋简体"/>
          <w:sz w:val="44"/>
          <w:szCs w:val="44"/>
        </w:rPr>
      </w:pPr>
    </w:p>
    <w:p>
      <w:pPr>
        <w:spacing w:line="520" w:lineRule="exact"/>
        <w:jc w:val="both"/>
        <w:rPr>
          <w:rFonts w:hint="eastAsia" w:ascii="方正小标宋简体" w:eastAsia="方正小标宋简体"/>
          <w:sz w:val="44"/>
          <w:szCs w:val="44"/>
        </w:rPr>
      </w:pPr>
    </w:p>
    <w:p>
      <w:pPr>
        <w:spacing w:line="520" w:lineRule="exact"/>
        <w:jc w:val="both"/>
        <w:rPr>
          <w:rFonts w:hint="eastAsia" w:ascii="方正小标宋简体" w:eastAsia="方正小标宋简体"/>
          <w:sz w:val="44"/>
          <w:szCs w:val="44"/>
        </w:rPr>
      </w:pPr>
    </w:p>
    <w:p>
      <w:pPr>
        <w:spacing w:line="520" w:lineRule="exact"/>
        <w:jc w:val="both"/>
        <w:rPr>
          <w:rFonts w:hint="eastAsia" w:ascii="方正小标宋简体" w:eastAsia="方正小标宋简体"/>
          <w:sz w:val="44"/>
          <w:szCs w:val="44"/>
        </w:rPr>
      </w:pPr>
    </w:p>
    <w:p>
      <w:pPr>
        <w:spacing w:line="520" w:lineRule="exact"/>
        <w:jc w:val="both"/>
        <w:rPr>
          <w:rFonts w:hint="eastAsia" w:ascii="方正小标宋简体" w:eastAsia="方正小标宋简体"/>
          <w:sz w:val="44"/>
          <w:szCs w:val="44"/>
        </w:rPr>
      </w:pPr>
    </w:p>
    <w:p>
      <w:pPr>
        <w:spacing w:line="520" w:lineRule="exact"/>
        <w:jc w:val="both"/>
        <w:rPr>
          <w:rFonts w:hint="eastAsia" w:ascii="方正小标宋简体" w:eastAsia="方正小标宋简体"/>
          <w:sz w:val="44"/>
          <w:szCs w:val="44"/>
        </w:rPr>
      </w:pPr>
    </w:p>
    <w:p>
      <w:pPr>
        <w:spacing w:line="600" w:lineRule="exact"/>
        <w:rPr>
          <w:rFonts w:hint="eastAsia" w:ascii="仿宋_GB2312" w:hAnsi="仿宋" w:eastAsia="仿宋_GB2312" w:cs="仿宋"/>
          <w:szCs w:val="32"/>
          <w:lang w:eastAsia="zh-CN"/>
        </w:rPr>
      </w:pPr>
    </w:p>
    <w:p>
      <w:pPr>
        <w:spacing w:line="600" w:lineRule="exact"/>
        <w:rPr>
          <w:rFonts w:hint="eastAsia" w:ascii="仿宋_GB2312" w:hAnsi="仿宋" w:cs="仿宋"/>
          <w:szCs w:val="32"/>
          <w:lang w:val="en-US" w:eastAsia="zh-CN"/>
        </w:rPr>
      </w:pPr>
    </w:p>
    <w:p>
      <w:pPr>
        <w:spacing w:line="600" w:lineRule="exact"/>
        <w:rPr>
          <w:rFonts w:hint="eastAsia" w:ascii="仿宋_GB2312" w:hAnsi="仿宋" w:cs="仿宋"/>
          <w:szCs w:val="32"/>
          <w:lang w:val="en-US" w:eastAsia="zh-CN"/>
        </w:rPr>
      </w:pPr>
    </w:p>
    <w:p>
      <w:pPr>
        <w:spacing w:line="600" w:lineRule="exact"/>
        <w:rPr>
          <w:rFonts w:hint="eastAsia" w:ascii="仿宋_GB2312" w:hAnsi="仿宋" w:cs="仿宋"/>
          <w:szCs w:val="32"/>
          <w:lang w:val="en-US"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rPr>
          <w:rFonts w:hint="eastAsia" w:ascii="黑体" w:hAnsi="黑体" w:eastAsia="黑体" w:cs="黑体"/>
          <w:sz w:val="32"/>
          <w:szCs w:val="32"/>
          <w:lang w:val="en-US" w:eastAsia="zh-CN"/>
        </w:rPr>
      </w:pPr>
    </w:p>
    <w:p>
      <w:pPr>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福建省国家高新区晋位奖励申</w:t>
      </w:r>
      <w:r>
        <w:rPr>
          <w:rFonts w:hint="eastAsia" w:ascii="宋体" w:hAnsi="宋体" w:eastAsia="宋体" w:cs="宋体"/>
          <w:b/>
          <w:bCs/>
          <w:sz w:val="44"/>
          <w:szCs w:val="44"/>
          <w:lang w:eastAsia="zh-CN"/>
        </w:rPr>
        <w:t>请</w:t>
      </w:r>
      <w:r>
        <w:rPr>
          <w:rFonts w:hint="eastAsia" w:ascii="宋体" w:hAnsi="宋体" w:eastAsia="宋体" w:cs="宋体"/>
          <w:b/>
          <w:bCs/>
          <w:sz w:val="44"/>
          <w:szCs w:val="44"/>
        </w:rPr>
        <w:t>表</w:t>
      </w:r>
    </w:p>
    <w:p>
      <w:pPr>
        <w:spacing w:line="520" w:lineRule="exact"/>
        <w:jc w:val="center"/>
        <w:rPr>
          <w:rFonts w:hint="eastAsia" w:ascii="方正小标宋简体" w:eastAsia="方正小标宋简体"/>
          <w:sz w:val="44"/>
          <w:szCs w:val="44"/>
        </w:rPr>
      </w:pPr>
    </w:p>
    <w:p>
      <w:pPr>
        <w:spacing w:line="520" w:lineRule="exact"/>
        <w:rPr>
          <w:rFonts w:hint="eastAsia" w:ascii="楷体_GB2312" w:hAnsi="宋体" w:eastAsia="楷体_GB2312"/>
          <w:sz w:val="28"/>
          <w:szCs w:val="28"/>
        </w:rPr>
      </w:pPr>
      <w:r>
        <w:rPr>
          <w:rFonts w:hint="eastAsia" w:ascii="楷体_GB2312" w:hAnsi="宋体" w:eastAsia="楷体_GB2312"/>
          <w:b/>
          <w:sz w:val="28"/>
          <w:szCs w:val="28"/>
        </w:rPr>
        <w:t>申报单位（公章）：                       填报时间：</w:t>
      </w:r>
      <w:r>
        <w:rPr>
          <w:rFonts w:hint="eastAsia" w:ascii="楷体_GB2312" w:hAnsi="宋体" w:eastAsia="楷体_GB2312"/>
          <w:sz w:val="28"/>
          <w:szCs w:val="28"/>
        </w:rPr>
        <w:t xml:space="preserve">  年  月  日</w:t>
      </w:r>
    </w:p>
    <w:tbl>
      <w:tblPr>
        <w:tblStyle w:val="4"/>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012"/>
        <w:gridCol w:w="982"/>
        <w:gridCol w:w="974"/>
        <w:gridCol w:w="13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高新区名称</w:t>
            </w:r>
          </w:p>
        </w:tc>
        <w:tc>
          <w:tcPr>
            <w:tcW w:w="2968" w:type="dxa"/>
            <w:gridSpan w:val="3"/>
            <w:vAlign w:val="center"/>
          </w:tcPr>
          <w:p>
            <w:pPr>
              <w:spacing w:line="400" w:lineRule="exact"/>
              <w:jc w:val="center"/>
              <w:rPr>
                <w:rFonts w:hint="eastAsia" w:ascii="黑体" w:hAnsi="黑体" w:eastAsia="黑体" w:cs="黑体"/>
                <w:bCs/>
                <w:sz w:val="28"/>
                <w:szCs w:val="28"/>
              </w:rPr>
            </w:pPr>
          </w:p>
        </w:tc>
        <w:tc>
          <w:tcPr>
            <w:tcW w:w="1359"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批复时间</w:t>
            </w:r>
          </w:p>
        </w:tc>
        <w:tc>
          <w:tcPr>
            <w:tcW w:w="1778" w:type="dxa"/>
            <w:vAlign w:val="center"/>
          </w:tcPr>
          <w:p>
            <w:pPr>
              <w:spacing w:line="400" w:lineRule="exact"/>
              <w:jc w:val="center"/>
              <w:rPr>
                <w:rFonts w:hint="eastAsia" w:ascii="黑体" w:hAnsi="黑体" w:eastAsia="黑体" w:cs="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315" w:type="dxa"/>
            <w:vAlign w:val="center"/>
          </w:tcPr>
          <w:p>
            <w:pPr>
              <w:spacing w:line="40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eastAsia="zh-CN"/>
              </w:rPr>
              <w:t>作为对比</w:t>
            </w:r>
            <w:r>
              <w:rPr>
                <w:rFonts w:hint="eastAsia" w:ascii="黑体" w:hAnsi="黑体" w:eastAsia="黑体" w:cs="黑体"/>
                <w:bCs/>
                <w:sz w:val="28"/>
                <w:szCs w:val="28"/>
              </w:rPr>
              <w:t>基</w:t>
            </w:r>
            <w:r>
              <w:rPr>
                <w:rFonts w:hint="eastAsia" w:ascii="黑体" w:hAnsi="黑体" w:eastAsia="黑体" w:cs="黑体"/>
                <w:bCs/>
                <w:sz w:val="28"/>
                <w:szCs w:val="28"/>
                <w:lang w:eastAsia="zh-CN"/>
              </w:rPr>
              <w:t>数</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lang w:eastAsia="zh-CN"/>
              </w:rPr>
              <w:t>时的</w:t>
            </w:r>
            <w:r>
              <w:rPr>
                <w:rFonts w:hint="eastAsia" w:ascii="黑体" w:hAnsi="黑体" w:eastAsia="黑体" w:cs="黑体"/>
                <w:bCs/>
                <w:sz w:val="28"/>
                <w:szCs w:val="28"/>
              </w:rPr>
              <w:t>排名</w:t>
            </w:r>
          </w:p>
        </w:tc>
        <w:tc>
          <w:tcPr>
            <w:tcW w:w="1012" w:type="dxa"/>
            <w:vAlign w:val="center"/>
          </w:tcPr>
          <w:p>
            <w:pPr>
              <w:spacing w:line="400" w:lineRule="exact"/>
              <w:jc w:val="center"/>
              <w:rPr>
                <w:rFonts w:hint="eastAsia" w:ascii="黑体" w:hAnsi="黑体" w:eastAsia="黑体" w:cs="黑体"/>
                <w:bCs/>
                <w:sz w:val="28"/>
                <w:szCs w:val="28"/>
              </w:rPr>
            </w:pPr>
          </w:p>
        </w:tc>
        <w:tc>
          <w:tcPr>
            <w:tcW w:w="982"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lang w:eastAsia="zh-CN"/>
              </w:rPr>
              <w:t>申请时的</w:t>
            </w:r>
            <w:r>
              <w:rPr>
                <w:rFonts w:hint="eastAsia" w:ascii="黑体" w:hAnsi="黑体" w:eastAsia="黑体" w:cs="黑体"/>
                <w:bCs/>
                <w:sz w:val="28"/>
                <w:szCs w:val="28"/>
              </w:rPr>
              <w:t>年度排名</w:t>
            </w:r>
          </w:p>
        </w:tc>
        <w:tc>
          <w:tcPr>
            <w:tcW w:w="974" w:type="dxa"/>
            <w:vAlign w:val="center"/>
          </w:tcPr>
          <w:p>
            <w:pPr>
              <w:spacing w:line="400" w:lineRule="exact"/>
              <w:jc w:val="center"/>
              <w:rPr>
                <w:rFonts w:hint="eastAsia" w:ascii="黑体" w:hAnsi="黑体" w:eastAsia="黑体" w:cs="黑体"/>
                <w:bCs/>
                <w:sz w:val="28"/>
                <w:szCs w:val="28"/>
              </w:rPr>
            </w:pPr>
          </w:p>
        </w:tc>
        <w:tc>
          <w:tcPr>
            <w:tcW w:w="1359"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晋升</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位次</w:t>
            </w:r>
          </w:p>
        </w:tc>
        <w:tc>
          <w:tcPr>
            <w:tcW w:w="1778" w:type="dxa"/>
            <w:vAlign w:val="center"/>
          </w:tcPr>
          <w:p>
            <w:pPr>
              <w:spacing w:line="400" w:lineRule="exact"/>
              <w:jc w:val="center"/>
              <w:rPr>
                <w:rFonts w:hint="eastAsia" w:ascii="黑体" w:hAnsi="黑体" w:eastAsia="黑体" w:cs="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开户银行</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及账号</w:t>
            </w:r>
          </w:p>
        </w:tc>
        <w:tc>
          <w:tcPr>
            <w:tcW w:w="1994" w:type="dxa"/>
            <w:gridSpan w:val="2"/>
            <w:vAlign w:val="center"/>
          </w:tcPr>
          <w:p>
            <w:pPr>
              <w:spacing w:line="400" w:lineRule="exact"/>
              <w:jc w:val="center"/>
              <w:rPr>
                <w:rFonts w:hint="eastAsia" w:ascii="黑体" w:hAnsi="黑体" w:eastAsia="黑体" w:cs="黑体"/>
                <w:bCs/>
                <w:sz w:val="28"/>
                <w:szCs w:val="28"/>
              </w:rPr>
            </w:pPr>
          </w:p>
        </w:tc>
        <w:tc>
          <w:tcPr>
            <w:tcW w:w="2333" w:type="dxa"/>
            <w:gridSpan w:val="2"/>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申请金额</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（万元）</w:t>
            </w:r>
          </w:p>
        </w:tc>
        <w:tc>
          <w:tcPr>
            <w:tcW w:w="1778" w:type="dxa"/>
            <w:vAlign w:val="center"/>
          </w:tcPr>
          <w:p>
            <w:pPr>
              <w:spacing w:line="400" w:lineRule="exact"/>
              <w:jc w:val="center"/>
              <w:rPr>
                <w:rFonts w:hint="eastAsia" w:ascii="黑体" w:hAnsi="黑体" w:eastAsia="黑体" w:cs="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联系人</w:t>
            </w:r>
          </w:p>
        </w:tc>
        <w:tc>
          <w:tcPr>
            <w:tcW w:w="1994" w:type="dxa"/>
            <w:gridSpan w:val="2"/>
            <w:vAlign w:val="center"/>
          </w:tcPr>
          <w:p>
            <w:pPr>
              <w:spacing w:line="400" w:lineRule="exact"/>
              <w:jc w:val="center"/>
              <w:rPr>
                <w:rFonts w:hint="eastAsia" w:ascii="黑体" w:hAnsi="黑体" w:eastAsia="黑体" w:cs="黑体"/>
                <w:bCs/>
                <w:sz w:val="28"/>
                <w:szCs w:val="28"/>
              </w:rPr>
            </w:pPr>
          </w:p>
        </w:tc>
        <w:tc>
          <w:tcPr>
            <w:tcW w:w="2333" w:type="dxa"/>
            <w:gridSpan w:val="2"/>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联系方式</w:t>
            </w:r>
          </w:p>
        </w:tc>
        <w:tc>
          <w:tcPr>
            <w:tcW w:w="1778" w:type="dxa"/>
            <w:vAlign w:val="center"/>
          </w:tcPr>
          <w:p>
            <w:pPr>
              <w:spacing w:line="400" w:lineRule="exact"/>
              <w:jc w:val="center"/>
              <w:rPr>
                <w:rFonts w:hint="eastAsia" w:ascii="黑体" w:hAnsi="黑体" w:eastAsia="黑体" w:cs="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lang w:eastAsia="zh-CN"/>
              </w:rPr>
              <w:t>有</w:t>
            </w:r>
            <w:r>
              <w:rPr>
                <w:rFonts w:hint="eastAsia" w:ascii="黑体" w:hAnsi="黑体" w:eastAsia="黑体" w:cs="黑体"/>
                <w:bCs/>
                <w:sz w:val="28"/>
                <w:szCs w:val="28"/>
              </w:rPr>
              <w:t>否发生重大生产安全事故、重大环境事件、严重违反土地和建设规划等情况</w:t>
            </w:r>
          </w:p>
        </w:tc>
        <w:tc>
          <w:tcPr>
            <w:tcW w:w="6105" w:type="dxa"/>
            <w:gridSpan w:val="5"/>
            <w:vAlign w:val="top"/>
          </w:tcPr>
          <w:p>
            <w:pPr>
              <w:spacing w:line="400" w:lineRule="exact"/>
              <w:rPr>
                <w:rFonts w:hint="eastAsia" w:ascii="黑体" w:hAnsi="黑体" w:eastAsia="黑体" w:cs="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高新区</w:t>
            </w:r>
            <w:r>
              <w:rPr>
                <w:rFonts w:hint="eastAsia" w:ascii="黑体" w:hAnsi="黑体" w:eastAsia="黑体" w:cs="黑体"/>
                <w:bCs/>
                <w:sz w:val="28"/>
                <w:szCs w:val="28"/>
                <w:lang w:eastAsia="zh-CN"/>
              </w:rPr>
              <w:t>建设</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主要工作成效</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（1000字</w:t>
            </w:r>
            <w:r>
              <w:rPr>
                <w:rFonts w:hint="eastAsia" w:ascii="黑体" w:hAnsi="黑体" w:eastAsia="黑体" w:cs="黑体"/>
                <w:bCs/>
                <w:sz w:val="28"/>
                <w:szCs w:val="28"/>
                <w:lang w:eastAsia="zh-CN"/>
              </w:rPr>
              <w:t>）</w:t>
            </w:r>
          </w:p>
        </w:tc>
        <w:tc>
          <w:tcPr>
            <w:tcW w:w="6105" w:type="dxa"/>
            <w:gridSpan w:val="5"/>
            <w:vAlign w:val="center"/>
          </w:tcPr>
          <w:p>
            <w:pPr>
              <w:spacing w:line="400" w:lineRule="exact"/>
              <w:rPr>
                <w:rFonts w:hint="eastAsia" w:ascii="黑体" w:hAnsi="黑体" w:eastAsia="黑体" w:cs="黑体"/>
                <w:bCs/>
                <w:sz w:val="28"/>
                <w:szCs w:val="28"/>
              </w:rPr>
            </w:pPr>
            <w:r>
              <w:rPr>
                <w:rFonts w:hint="eastAsia" w:ascii="仿宋_GB2312" w:hAnsi="仿宋_GB2312" w:eastAsia="仿宋_GB2312" w:cs="仿宋_GB2312"/>
                <w:bCs/>
                <w:sz w:val="28"/>
                <w:szCs w:val="28"/>
              </w:rPr>
              <w:t>（主要工作成效包括：推动高新区建设、促进科技创新、开展体制机制改革、建设科技平台、营造创新创业生态等方面</w:t>
            </w:r>
            <w:r>
              <w:rPr>
                <w:rFonts w:hint="eastAsia" w:ascii="仿宋_GB2312" w:hAnsi="仿宋_GB2312" w:eastAsia="仿宋_GB2312" w:cs="仿宋_GB2312"/>
                <w:bCs/>
                <w:sz w:val="28"/>
                <w:szCs w:val="28"/>
                <w:lang w:eastAsia="zh-CN"/>
              </w:rPr>
              <w:t>内容</w:t>
            </w:r>
            <w:r>
              <w:rPr>
                <w:rFonts w:hint="eastAsia" w:ascii="仿宋_GB2312" w:hAnsi="仿宋_GB2312" w:eastAsia="仿宋_GB2312" w:cs="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2315" w:type="dxa"/>
            <w:vAlign w:val="center"/>
          </w:tcPr>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设区市科技</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管理部门</w:t>
            </w:r>
          </w:p>
          <w:p>
            <w:pPr>
              <w:spacing w:line="400" w:lineRule="exact"/>
              <w:jc w:val="center"/>
              <w:rPr>
                <w:rFonts w:hint="eastAsia" w:ascii="黑体" w:hAnsi="黑体" w:eastAsia="黑体" w:cs="黑体"/>
                <w:bCs/>
                <w:sz w:val="28"/>
                <w:szCs w:val="28"/>
              </w:rPr>
            </w:pPr>
            <w:r>
              <w:rPr>
                <w:rFonts w:hint="eastAsia" w:ascii="黑体" w:hAnsi="黑体" w:eastAsia="黑体" w:cs="黑体"/>
                <w:bCs/>
                <w:sz w:val="28"/>
                <w:szCs w:val="28"/>
              </w:rPr>
              <w:t>审核意见</w:t>
            </w:r>
          </w:p>
        </w:tc>
        <w:tc>
          <w:tcPr>
            <w:tcW w:w="6105" w:type="dxa"/>
            <w:gridSpan w:val="5"/>
            <w:vAlign w:val="center"/>
          </w:tcPr>
          <w:p>
            <w:pPr>
              <w:spacing w:line="400" w:lineRule="exact"/>
              <w:ind w:firstLine="0" w:firstLineChars="0"/>
              <w:rPr>
                <w:rFonts w:hint="eastAsia" w:ascii="黑体" w:hAnsi="黑体" w:eastAsia="黑体" w:cs="黑体"/>
                <w:bCs/>
                <w:sz w:val="28"/>
                <w:szCs w:val="28"/>
              </w:rPr>
            </w:pPr>
          </w:p>
          <w:p>
            <w:pPr>
              <w:spacing w:line="400" w:lineRule="exact"/>
              <w:ind w:firstLine="4480" w:firstLineChars="1600"/>
              <w:rPr>
                <w:rFonts w:hint="eastAsia" w:ascii="仿宋_GB2312" w:hAnsi="仿宋_GB2312" w:eastAsia="仿宋_GB2312" w:cs="仿宋_GB2312"/>
                <w:bCs/>
                <w:sz w:val="28"/>
                <w:szCs w:val="28"/>
              </w:rPr>
            </w:pPr>
          </w:p>
          <w:p>
            <w:pPr>
              <w:spacing w:line="400" w:lineRule="exact"/>
              <w:ind w:firstLine="4480" w:firstLineChars="1600"/>
              <w:rPr>
                <w:rFonts w:hint="eastAsia" w:ascii="仿宋_GB2312" w:hAnsi="仿宋_GB2312" w:eastAsia="仿宋_GB2312" w:cs="仿宋_GB2312"/>
                <w:bCs/>
                <w:sz w:val="28"/>
                <w:szCs w:val="28"/>
              </w:rPr>
            </w:pPr>
          </w:p>
          <w:p>
            <w:pPr>
              <w:spacing w:line="400" w:lineRule="exact"/>
              <w:ind w:firstLine="0"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公  章</w:t>
            </w:r>
          </w:p>
          <w:p>
            <w:pPr>
              <w:spacing w:line="400" w:lineRule="exact"/>
              <w:ind w:firstLine="0" w:firstLineChars="0"/>
              <w:rPr>
                <w:rFonts w:hint="eastAsia" w:ascii="黑体" w:hAnsi="黑体" w:eastAsia="黑体" w:cs="黑体"/>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年    月    日</w:t>
            </w:r>
          </w:p>
        </w:tc>
      </w:tr>
    </w:tbl>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B2DDD"/>
    <w:rsid w:val="1C17085B"/>
    <w:rsid w:val="28A835E4"/>
    <w:rsid w:val="33774F27"/>
    <w:rsid w:val="33D3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Times New Roman" w:hAnsi="Times New Roman" w:eastAsia="宋体"/>
      <w:sz w:val="21"/>
      <w:szCs w:val="24"/>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 Char"/>
    <w:basedOn w:val="1"/>
    <w:link w:val="5"/>
    <w:semiHidden/>
    <w:qFormat/>
    <w:uiPriority w:val="0"/>
    <w:rPr>
      <w:rFonts w:ascii="Times New Roman" w:hAnsi="Times New Roman" w:eastAsia="宋体"/>
      <w:sz w:val="21"/>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1509</Words>
  <Characters>1555</Characters>
  <Lines>0</Lines>
  <Paragraphs>0</Paragraphs>
  <TotalTime>11</TotalTime>
  <ScaleCrop>false</ScaleCrop>
  <LinksUpToDate>false</LinksUpToDate>
  <CharactersWithSpaces>1716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2022-10-26T02:45:00Z</cp:lastPrinted>
  <dcterms:modified xsi:type="dcterms:W3CDTF">2022-11-10T07:46:52Z</dcterms:modified>
  <dc:title>闽科规〔2022〕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643543B01E0649CD8889ED7B17756D2B</vt:lpwstr>
  </property>
</Properties>
</file>