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hAnsi="宋体-18030" w:eastAsia="楷体_GB2312" w:cs="宋体-18030"/>
          <w:spacing w:val="32"/>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hAnsi="宋体-18030" w:eastAsia="楷体_GB2312" w:cs="宋体-18030"/>
          <w:spacing w:val="32"/>
          <w:sz w:val="30"/>
          <w:szCs w:val="30"/>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楷体_GB2312" w:hAnsi="宋体-18030" w:eastAsia="楷体_GB2312" w:cs="宋体-18030"/>
          <w:spacing w:val="32"/>
          <w:sz w:val="30"/>
          <w:szCs w:val="30"/>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楷体_GB2312" w:hAnsi="宋体-18030" w:eastAsia="楷体_GB2312" w:cs="宋体-18030"/>
          <w:spacing w:val="32"/>
          <w:sz w:val="30"/>
          <w:szCs w:val="30"/>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楷体_GB2312" w:hAnsi="宋体-18030" w:eastAsia="楷体_GB2312" w:cs="宋体-18030"/>
          <w:spacing w:val="32"/>
          <w:sz w:val="30"/>
          <w:szCs w:val="30"/>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楷体_GB2312" w:hAnsi="宋体-18030" w:eastAsia="楷体_GB2312" w:cs="宋体-18030"/>
          <w:spacing w:val="32"/>
          <w:sz w:val="30"/>
          <w:szCs w:val="30"/>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楷体_GB2312" w:hAnsi="宋体-18030" w:eastAsia="楷体_GB2312" w:cs="宋体-18030"/>
          <w:spacing w:val="32"/>
          <w:sz w:val="30"/>
          <w:szCs w:val="30"/>
        </w:rPr>
      </w:pPr>
      <w:r>
        <w:rPr>
          <w:rFonts w:hint="eastAsia" w:ascii="仿宋_GB2312" w:hAnsi="仿宋_GB2312" w:eastAsia="仿宋_GB2312" w:cs="仿宋_GB2312"/>
          <w:sz w:val="32"/>
          <w:szCs w:val="32"/>
        </w:rPr>
        <w:t>长政</w:t>
      </w:r>
      <w:r>
        <w:rPr>
          <w:rFonts w:hint="eastAsia" w:ascii="仿宋_GB2312" w:hAnsi="仿宋_GB2312" w:eastAsia="仿宋_GB2312" w:cs="仿宋_GB2312"/>
          <w:sz w:val="32"/>
          <w:szCs w:val="32"/>
          <w:lang w:val="en-US" w:eastAsia="zh-CN"/>
        </w:rPr>
        <w:t>办</w:t>
      </w:r>
      <w:r>
        <w:rPr>
          <w:rFonts w:hint="eastAsia" w:ascii="仿宋_GB2312" w:hAnsi="仿宋_GB2312" w:cs="仿宋_GB2312"/>
          <w:sz w:val="32"/>
          <w:szCs w:val="32"/>
          <w:lang w:val="en-US" w:eastAsia="zh-CN"/>
        </w:rPr>
        <w:t>规</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15</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中宋" w:hAnsi="华文中宋" w:eastAsia="华文中宋" w:cs="Times New Roman"/>
          <w:spacing w:val="-6"/>
          <w:sz w:val="36"/>
          <w:szCs w:val="36"/>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福州市长乐区人民政府</w:t>
      </w:r>
      <w:r>
        <w:rPr>
          <w:rFonts w:hint="eastAsia" w:ascii="方正小标宋简体" w:hAnsi="方正小标宋简体" w:eastAsia="方正小标宋简体" w:cs="方正小标宋简体"/>
          <w:sz w:val="44"/>
          <w:szCs w:val="44"/>
          <w:lang w:val="en-US" w:eastAsia="zh-CN"/>
        </w:rPr>
        <w:t>办公室</w:t>
      </w:r>
    </w:p>
    <w:p>
      <w:pPr>
        <w:snapToGrid w:val="0"/>
        <w:spacing w:line="560" w:lineRule="exact"/>
        <w:jc w:val="center"/>
        <w:rPr>
          <w:rFonts w:hint="eastAsia" w:ascii="方正小标宋简体" w:hAnsi="华文中宋" w:eastAsia="方正小标宋简体" w:cs="华文中宋"/>
          <w:spacing w:val="-17"/>
          <w:sz w:val="44"/>
          <w:szCs w:val="44"/>
          <w:lang w:val="en-US" w:eastAsia="zh-CN"/>
        </w:rPr>
      </w:pPr>
      <w:r>
        <w:rPr>
          <w:rFonts w:hint="eastAsia" w:ascii="方正小标宋简体" w:hAnsi="方正小标宋简体" w:eastAsia="方正小标宋简体" w:cs="方正小标宋简体"/>
          <w:spacing w:val="-17"/>
          <w:sz w:val="44"/>
          <w:szCs w:val="44"/>
          <w:lang w:val="en-US" w:eastAsia="zh-CN"/>
        </w:rPr>
        <w:t>关于</w:t>
      </w:r>
      <w:r>
        <w:rPr>
          <w:rFonts w:hint="eastAsia" w:ascii="方正小标宋简体" w:hAnsi="方正小标宋简体" w:eastAsia="方正小标宋简体" w:cs="方正小标宋简体"/>
          <w:spacing w:val="-17"/>
          <w:sz w:val="44"/>
          <w:szCs w:val="44"/>
          <w:lang w:eastAsia="zh-CN"/>
        </w:rPr>
        <w:t>印发《</w:t>
      </w:r>
      <w:r>
        <w:rPr>
          <w:rFonts w:hint="eastAsia" w:ascii="方正小标宋简体" w:hAnsi="方正小标宋简体" w:eastAsia="方正小标宋简体" w:cs="方正小标宋简体"/>
          <w:color w:val="000000"/>
          <w:spacing w:val="-17"/>
          <w:sz w:val="44"/>
          <w:szCs w:val="44"/>
        </w:rPr>
        <w:t>福州市长乐区招商引资中介</w:t>
      </w:r>
      <w:r>
        <w:rPr>
          <w:rFonts w:hint="eastAsia" w:ascii="方正小标宋简体" w:hAnsi="方正小标宋简体" w:eastAsia="方正小标宋简体" w:cs="方正小标宋简体"/>
          <w:color w:val="000000"/>
          <w:spacing w:val="-17"/>
          <w:sz w:val="44"/>
          <w:szCs w:val="44"/>
          <w:lang w:val="en-US" w:eastAsia="zh-CN"/>
        </w:rPr>
        <w:t>奖励办</w:t>
      </w:r>
      <w:r>
        <w:rPr>
          <w:rFonts w:hint="eastAsia" w:ascii="方正小标宋简体" w:hAnsi="方正小标宋简体" w:eastAsia="方正小标宋简体" w:cs="方正小标宋简体"/>
          <w:color w:val="000000"/>
          <w:spacing w:val="-17"/>
          <w:sz w:val="44"/>
          <w:szCs w:val="44"/>
        </w:rPr>
        <w:t>法</w:t>
      </w:r>
      <w:r>
        <w:rPr>
          <w:rFonts w:hint="eastAsia" w:ascii="方正小标宋简体" w:hAnsi="华文中宋" w:eastAsia="方正小标宋简体" w:cs="华文中宋"/>
          <w:spacing w:val="-17"/>
          <w:sz w:val="44"/>
          <w:szCs w:val="44"/>
          <w:lang w:val="en-US" w:eastAsia="zh-CN"/>
        </w:rPr>
        <w:t>》</w:t>
      </w:r>
    </w:p>
    <w:p>
      <w:pPr>
        <w:snapToGrid w:val="0"/>
        <w:spacing w:line="560" w:lineRule="exact"/>
        <w:jc w:val="center"/>
        <w:rPr>
          <w:rFonts w:hint="eastAsia" w:ascii="华文中宋" w:hAnsi="华文中宋" w:eastAsia="华文中宋" w:cs="华文中宋"/>
          <w:sz w:val="44"/>
          <w:szCs w:val="44"/>
          <w:lang w:eastAsia="zh-CN"/>
        </w:rPr>
      </w:pPr>
      <w:r>
        <w:rPr>
          <w:rFonts w:hint="eastAsia" w:ascii="方正小标宋简体" w:hAnsi="方正小标宋简体" w:eastAsia="方正小标宋简体" w:cs="方正小标宋简体"/>
          <w:sz w:val="44"/>
          <w:szCs w:val="44"/>
          <w:lang w:eastAsia="zh-CN"/>
        </w:rPr>
        <w:t>的通知</w:t>
      </w:r>
    </w:p>
    <w:p>
      <w:pPr>
        <w:keepNext w:val="0"/>
        <w:keepLines w:val="0"/>
        <w:pageBreakBefore w:val="0"/>
        <w:widowControl w:val="0"/>
        <w:kinsoku/>
        <w:wordWrap/>
        <w:overflowPunct/>
        <w:topLinePunct w:val="0"/>
        <w:autoSpaceDE/>
        <w:autoSpaceDN/>
        <w:bidi w:val="0"/>
        <w:adjustRightInd/>
        <w:snapToGrid w:val="0"/>
        <w:spacing w:line="560" w:lineRule="exact"/>
        <w:ind w:left="-6" w:leftChars="-3" w:hanging="3" w:hangingChars="1"/>
        <w:jc w:val="both"/>
        <w:textAlignment w:val="auto"/>
        <w:rPr>
          <w:rFonts w:hint="eastAsia" w:ascii="仿宋_GB2312" w:hAnsi="仿宋_GB2312" w:eastAsia="仿宋_GB2312" w:cs="仿宋_GB2312"/>
          <w:sz w:val="36"/>
          <w:szCs w:val="36"/>
        </w:rPr>
      </w:pPr>
    </w:p>
    <w:p>
      <w:pPr>
        <w:keepNext w:val="0"/>
        <w:keepLines w:val="0"/>
        <w:pageBreakBefore w:val="0"/>
        <w:widowControl w:val="0"/>
        <w:kinsoku/>
        <w:wordWrap/>
        <w:overflowPunct/>
        <w:topLinePunct w:val="0"/>
        <w:autoSpaceDE/>
        <w:autoSpaceDN/>
        <w:bidi w:val="0"/>
        <w:adjustRightInd/>
        <w:snapToGrid w:val="0"/>
        <w:spacing w:line="560" w:lineRule="exact"/>
        <w:ind w:left="-6" w:leftChars="-3" w:hanging="3" w:hangingChars="1"/>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各乡镇人民政府、街道办事处，区直有关单位：</w:t>
      </w:r>
    </w:p>
    <w:p>
      <w:pPr>
        <w:keepNext w:val="0"/>
        <w:keepLines w:val="0"/>
        <w:pageBreakBefore w:val="0"/>
        <w:widowControl w:val="0"/>
        <w:kinsoku/>
        <w:wordWrap/>
        <w:overflowPunct/>
        <w:topLinePunct w:val="0"/>
        <w:autoSpaceDE/>
        <w:autoSpaceDN/>
        <w:bidi w:val="0"/>
        <w:adjustRightInd/>
        <w:snapToGrid w:val="0"/>
        <w:spacing w:line="560" w:lineRule="exact"/>
        <w:ind w:left="-6" w:leftChars="-3" w:hanging="3" w:hangingChars="1"/>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《福州市长乐区招商引资中介奖励办法》已经区政府2022年第</w:t>
      </w:r>
      <w:r>
        <w:rPr>
          <w:rFonts w:hint="eastAsia" w:ascii="仿宋_GB2312" w:hAnsi="仿宋_GB2312" w:cs="仿宋_GB2312"/>
          <w:sz w:val="32"/>
          <w:szCs w:val="32"/>
          <w:lang w:val="en-US" w:eastAsia="zh-CN"/>
        </w:rPr>
        <w:t>23</w:t>
      </w:r>
      <w:r>
        <w:rPr>
          <w:rFonts w:hint="eastAsia" w:ascii="仿宋_GB2312" w:hAnsi="仿宋_GB2312" w:eastAsia="仿宋_GB2312" w:cs="仿宋_GB2312"/>
          <w:sz w:val="32"/>
          <w:szCs w:val="32"/>
          <w:lang w:val="en-US" w:eastAsia="zh-CN"/>
        </w:rPr>
        <w:t>次常务会议审议通过，现印发给你们，请认真组织实施。</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54"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福州市长乐区人民政府办公室                 </w:t>
      </w:r>
    </w:p>
    <w:p>
      <w:pPr>
        <w:keepNext w:val="0"/>
        <w:keepLines w:val="0"/>
        <w:pageBreakBefore w:val="0"/>
        <w:widowControl w:val="0"/>
        <w:kinsoku/>
        <w:wordWrap w:val="0"/>
        <w:overflowPunct/>
        <w:topLinePunct w:val="0"/>
        <w:autoSpaceDE/>
        <w:autoSpaceDN/>
        <w:bidi w:val="0"/>
        <w:adjustRightInd/>
        <w:snapToGrid w:val="0"/>
        <w:spacing w:line="560" w:lineRule="exact"/>
        <w:ind w:firstLine="654"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w:t>
      </w:r>
      <w:r>
        <w:rPr>
          <w:rFonts w:hint="eastAsia" w:ascii="仿宋_GB2312" w:hAnsi="仿宋_GB2312" w:cs="仿宋_GB2312"/>
          <w:sz w:val="32"/>
          <w:szCs w:val="32"/>
          <w:lang w:val="en-US" w:eastAsia="zh-CN"/>
        </w:rPr>
        <w:t>9</w:t>
      </w:r>
      <w:r>
        <w:rPr>
          <w:rFonts w:hint="eastAsia" w:ascii="仿宋_GB2312" w:hAnsi="仿宋_GB2312" w:eastAsia="仿宋_GB2312" w:cs="仿宋_GB2312"/>
          <w:sz w:val="32"/>
          <w:szCs w:val="32"/>
          <w:lang w:val="en-US" w:eastAsia="zh-CN"/>
        </w:rPr>
        <w:t>月</w:t>
      </w:r>
      <w:r>
        <w:rPr>
          <w:rFonts w:hint="eastAsia" w:ascii="仿宋_GB2312" w:hAnsi="仿宋_GB2312" w:cs="仿宋_GB2312"/>
          <w:sz w:val="32"/>
          <w:szCs w:val="32"/>
          <w:lang w:val="en-US" w:eastAsia="zh-CN"/>
        </w:rPr>
        <w:t>30</w:t>
      </w:r>
      <w:r>
        <w:rPr>
          <w:rFonts w:hint="eastAsia" w:ascii="仿宋_GB2312" w:hAnsi="仿宋_GB2312" w:eastAsia="仿宋_GB2312" w:cs="仿宋_GB2312"/>
          <w:sz w:val="32"/>
          <w:szCs w:val="32"/>
          <w:lang w:val="en-US" w:eastAsia="zh-CN"/>
        </w:rPr>
        <w:t>日</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val="0"/>
        <w:spacing w:line="560" w:lineRule="exact"/>
        <w:ind w:firstLine="654"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pBdr>
          <w:top w:val="single" w:color="auto" w:sz="4" w:space="1"/>
          <w:bottom w:val="single" w:color="auto" w:sz="4" w:space="1"/>
          <w:between w:val="single" w:color="auto" w:sz="4" w:space="1"/>
        </w:pBdr>
        <w:kinsoku/>
        <w:wordWrap/>
        <w:overflowPunct/>
        <w:topLinePunct w:val="0"/>
        <w:autoSpaceDE/>
        <w:autoSpaceDN/>
        <w:bidi w:val="0"/>
        <w:adjustRightInd/>
        <w:snapToGrid/>
        <w:spacing w:line="560" w:lineRule="exact"/>
        <w:ind w:left="1032" w:leftChars="0" w:right="0" w:rightChars="0" w:hanging="1032" w:hangingChars="350"/>
        <w:jc w:val="both"/>
        <w:textAlignment w:val="auto"/>
        <w:outlineLvl w:val="9"/>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6"/>
          <w:sz w:val="30"/>
          <w:szCs w:val="30"/>
        </w:rPr>
        <w:t xml:space="preserve"> 抄送：</w:t>
      </w:r>
      <w:r>
        <w:rPr>
          <w:rFonts w:hint="eastAsia" w:ascii="仿宋_GB2312" w:hAnsi="仿宋_GB2312" w:eastAsia="仿宋_GB2312" w:cs="仿宋_GB2312"/>
          <w:spacing w:val="-11"/>
          <w:sz w:val="30"/>
          <w:szCs w:val="30"/>
          <w:lang w:eastAsia="zh-CN"/>
        </w:rPr>
        <w:t>区</w:t>
      </w:r>
      <w:r>
        <w:rPr>
          <w:rFonts w:hint="eastAsia" w:ascii="仿宋_GB2312" w:hAnsi="仿宋_GB2312" w:eastAsia="仿宋_GB2312" w:cs="仿宋_GB2312"/>
          <w:spacing w:val="-11"/>
          <w:sz w:val="30"/>
          <w:szCs w:val="30"/>
        </w:rPr>
        <w:t>委办、人大办、政协</w:t>
      </w:r>
      <w:r>
        <w:rPr>
          <w:rFonts w:hint="eastAsia" w:ascii="仿宋_GB2312" w:hAnsi="仿宋_GB2312" w:eastAsia="仿宋_GB2312" w:cs="仿宋_GB2312"/>
          <w:spacing w:val="-11"/>
          <w:sz w:val="30"/>
          <w:szCs w:val="30"/>
          <w:lang w:eastAsia="zh-CN"/>
        </w:rPr>
        <w:t>办</w:t>
      </w:r>
      <w:r>
        <w:rPr>
          <w:rFonts w:hint="eastAsia" w:ascii="仿宋_GB2312" w:hAnsi="仿宋_GB2312" w:eastAsia="仿宋_GB2312" w:cs="仿宋_GB2312"/>
          <w:spacing w:val="-11"/>
          <w:sz w:val="30"/>
          <w:szCs w:val="30"/>
        </w:rPr>
        <w:t>，</w:t>
      </w:r>
      <w:r>
        <w:rPr>
          <w:rFonts w:hint="eastAsia" w:ascii="仿宋_GB2312" w:hAnsi="仿宋_GB2312" w:eastAsia="仿宋_GB2312" w:cs="仿宋_GB2312"/>
          <w:spacing w:val="-11"/>
          <w:sz w:val="30"/>
          <w:szCs w:val="30"/>
          <w:lang w:eastAsia="zh-CN"/>
        </w:rPr>
        <w:t>区</w:t>
      </w:r>
      <w:r>
        <w:rPr>
          <w:rFonts w:hint="eastAsia" w:ascii="仿宋_GB2312" w:hAnsi="仿宋_GB2312" w:eastAsia="仿宋_GB2312" w:cs="仿宋_GB2312"/>
          <w:spacing w:val="-11"/>
          <w:sz w:val="30"/>
          <w:szCs w:val="30"/>
        </w:rPr>
        <w:t>委常委、</w:t>
      </w:r>
      <w:r>
        <w:rPr>
          <w:rFonts w:hint="eastAsia" w:ascii="仿宋_GB2312" w:hAnsi="仿宋_GB2312" w:eastAsia="仿宋_GB2312" w:cs="仿宋_GB2312"/>
          <w:spacing w:val="-11"/>
          <w:sz w:val="30"/>
          <w:szCs w:val="30"/>
          <w:lang w:eastAsia="zh-CN"/>
        </w:rPr>
        <w:t>副区</w:t>
      </w:r>
      <w:r>
        <w:rPr>
          <w:rFonts w:hint="eastAsia" w:ascii="仿宋_GB2312" w:hAnsi="仿宋_GB2312" w:eastAsia="仿宋_GB2312" w:cs="仿宋_GB2312"/>
          <w:spacing w:val="-11"/>
          <w:sz w:val="30"/>
          <w:szCs w:val="30"/>
        </w:rPr>
        <w:t>长，</w:t>
      </w:r>
      <w:r>
        <w:rPr>
          <w:rFonts w:hint="eastAsia" w:ascii="仿宋_GB2312" w:hAnsi="仿宋_GB2312" w:eastAsia="仿宋_GB2312" w:cs="仿宋_GB2312"/>
          <w:spacing w:val="-11"/>
          <w:sz w:val="30"/>
          <w:szCs w:val="30"/>
          <w:lang w:eastAsia="zh-CN"/>
        </w:rPr>
        <w:t>区</w:t>
      </w:r>
      <w:r>
        <w:rPr>
          <w:rFonts w:hint="eastAsia" w:ascii="仿宋_GB2312" w:hAnsi="仿宋_GB2312" w:eastAsia="仿宋_GB2312" w:cs="仿宋_GB2312"/>
          <w:spacing w:val="-11"/>
          <w:sz w:val="30"/>
          <w:szCs w:val="30"/>
        </w:rPr>
        <w:t>委</w:t>
      </w:r>
      <w:r>
        <w:rPr>
          <w:rFonts w:hint="eastAsia" w:ascii="仿宋_GB2312" w:hAnsi="仿宋_GB2312" w:cs="仿宋_GB2312"/>
          <w:spacing w:val="-11"/>
          <w:sz w:val="30"/>
          <w:szCs w:val="30"/>
          <w:lang w:eastAsia="zh-CN"/>
        </w:rPr>
        <w:t>、</w:t>
      </w:r>
      <w:r>
        <w:rPr>
          <w:rFonts w:hint="eastAsia" w:ascii="仿宋_GB2312" w:hAnsi="仿宋_GB2312" w:eastAsia="仿宋_GB2312" w:cs="仿宋_GB2312"/>
          <w:spacing w:val="-11"/>
          <w:sz w:val="30"/>
          <w:szCs w:val="30"/>
          <w:lang w:eastAsia="zh-CN"/>
        </w:rPr>
        <w:t>区</w:t>
      </w:r>
      <w:r>
        <w:rPr>
          <w:rFonts w:hint="eastAsia" w:ascii="仿宋_GB2312" w:hAnsi="仿宋_GB2312" w:eastAsia="仿宋_GB2312" w:cs="仿宋_GB2312"/>
          <w:spacing w:val="-11"/>
          <w:sz w:val="30"/>
          <w:szCs w:val="30"/>
        </w:rPr>
        <w:t>政府</w:t>
      </w:r>
      <w:r>
        <w:rPr>
          <w:rFonts w:hint="eastAsia" w:ascii="仿宋_GB2312" w:hAnsi="仿宋_GB2312" w:eastAsia="仿宋_GB2312" w:cs="仿宋_GB2312"/>
          <w:spacing w:val="0"/>
          <w:sz w:val="30"/>
          <w:szCs w:val="30"/>
        </w:rPr>
        <w:t>调研员。</w:t>
      </w:r>
    </w:p>
    <w:p>
      <w:pPr>
        <w:keepNext w:val="0"/>
        <w:keepLines w:val="0"/>
        <w:pageBreakBefore w:val="0"/>
        <w:widowControl w:val="0"/>
        <w:pBdr>
          <w:top w:val="single" w:color="auto" w:sz="4" w:space="1"/>
          <w:bottom w:val="single" w:color="auto" w:sz="4" w:space="1"/>
          <w:between w:val="single" w:color="auto" w:sz="4" w:space="1"/>
        </w:pBdr>
        <w:kinsoku/>
        <w:wordWrap/>
        <w:overflowPunct/>
        <w:topLinePunct w:val="0"/>
        <w:autoSpaceDE/>
        <w:autoSpaceDN/>
        <w:bidi w:val="0"/>
        <w:adjustRightInd/>
        <w:snapToGrid/>
        <w:spacing w:line="560" w:lineRule="exact"/>
        <w:ind w:firstLine="153" w:firstLineChars="50"/>
        <w:textAlignment w:val="auto"/>
        <w:outlineLvl w:val="9"/>
        <w:rPr>
          <w:rFonts w:hint="eastAsia" w:ascii="方正小标宋简体" w:hAnsi="方正小标宋简体" w:eastAsia="方正小标宋简体" w:cs="方正小标宋简体"/>
          <w:color w:val="000000"/>
          <w:sz w:val="44"/>
          <w:szCs w:val="44"/>
        </w:rPr>
      </w:pPr>
      <w:r>
        <w:rPr>
          <w:rFonts w:hint="eastAsia" w:ascii="仿宋_GB2312" w:hAnsi="仿宋_GB2312" w:eastAsia="仿宋_GB2312" w:cs="仿宋_GB2312"/>
          <w:spacing w:val="0"/>
          <w:sz w:val="30"/>
          <w:szCs w:val="30"/>
          <w:lang w:eastAsia="zh-CN"/>
        </w:rPr>
        <w:t>福州</w:t>
      </w:r>
      <w:r>
        <w:rPr>
          <w:rFonts w:hint="eastAsia" w:ascii="仿宋_GB2312" w:hAnsi="仿宋_GB2312" w:eastAsia="仿宋_GB2312" w:cs="仿宋_GB2312"/>
          <w:spacing w:val="0"/>
          <w:sz w:val="30"/>
          <w:szCs w:val="30"/>
        </w:rPr>
        <w:t>市</w:t>
      </w:r>
      <w:r>
        <w:rPr>
          <w:rFonts w:hint="eastAsia" w:ascii="仿宋_GB2312" w:hAnsi="仿宋_GB2312" w:eastAsia="仿宋_GB2312" w:cs="仿宋_GB2312"/>
          <w:spacing w:val="0"/>
          <w:sz w:val="30"/>
          <w:szCs w:val="30"/>
          <w:lang w:eastAsia="zh-CN"/>
        </w:rPr>
        <w:t>长乐区</w:t>
      </w:r>
      <w:r>
        <w:rPr>
          <w:rFonts w:hint="eastAsia" w:ascii="仿宋_GB2312" w:hAnsi="仿宋_GB2312" w:eastAsia="仿宋_GB2312" w:cs="仿宋_GB2312"/>
          <w:spacing w:val="0"/>
          <w:sz w:val="30"/>
          <w:szCs w:val="30"/>
        </w:rPr>
        <w:t xml:space="preserve">人民政府办公室　 　  　 </w:t>
      </w:r>
      <w:r>
        <w:rPr>
          <w:rFonts w:hint="eastAsia" w:ascii="仿宋_GB2312" w:hAnsi="仿宋_GB2312" w:eastAsia="仿宋_GB2312" w:cs="仿宋_GB2312"/>
          <w:spacing w:val="0"/>
          <w:sz w:val="30"/>
          <w:szCs w:val="30"/>
          <w:lang w:val="en-US" w:eastAsia="zh-CN"/>
        </w:rPr>
        <w:t xml:space="preserve">  </w:t>
      </w:r>
      <w:r>
        <w:rPr>
          <w:rFonts w:hint="eastAsia" w:ascii="仿宋_GB2312" w:hAnsi="仿宋_GB2312" w:eastAsia="仿宋_GB2312" w:cs="仿宋_GB2312"/>
          <w:spacing w:val="0"/>
          <w:sz w:val="30"/>
          <w:szCs w:val="30"/>
        </w:rPr>
        <w:t>20</w:t>
      </w:r>
      <w:r>
        <w:rPr>
          <w:rFonts w:hint="eastAsia" w:ascii="仿宋_GB2312" w:hAnsi="仿宋_GB2312" w:eastAsia="仿宋_GB2312" w:cs="仿宋_GB2312"/>
          <w:spacing w:val="0"/>
          <w:sz w:val="30"/>
          <w:szCs w:val="30"/>
          <w:lang w:val="en-US" w:eastAsia="zh-CN"/>
        </w:rPr>
        <w:t>22</w:t>
      </w:r>
      <w:r>
        <w:rPr>
          <w:rFonts w:hint="eastAsia" w:ascii="仿宋_GB2312" w:hAnsi="仿宋_GB2312" w:eastAsia="仿宋_GB2312" w:cs="仿宋_GB2312"/>
          <w:spacing w:val="0"/>
          <w:sz w:val="30"/>
          <w:szCs w:val="30"/>
        </w:rPr>
        <w:t>年</w:t>
      </w:r>
      <w:r>
        <w:rPr>
          <w:rFonts w:hint="eastAsia" w:ascii="仿宋_GB2312" w:hAnsi="仿宋_GB2312" w:cs="仿宋_GB2312"/>
          <w:spacing w:val="0"/>
          <w:sz w:val="30"/>
          <w:szCs w:val="30"/>
          <w:lang w:val="en-US" w:eastAsia="zh-CN"/>
        </w:rPr>
        <w:t>9</w:t>
      </w:r>
      <w:r>
        <w:rPr>
          <w:rFonts w:hint="eastAsia" w:ascii="仿宋_GB2312" w:hAnsi="仿宋_GB2312" w:eastAsia="仿宋_GB2312" w:cs="仿宋_GB2312"/>
          <w:spacing w:val="0"/>
          <w:sz w:val="30"/>
          <w:szCs w:val="30"/>
          <w:lang w:val="en-US" w:eastAsia="zh-CN"/>
        </w:rPr>
        <w:t>月</w:t>
      </w:r>
      <w:r>
        <w:rPr>
          <w:rFonts w:hint="eastAsia" w:ascii="仿宋_GB2312" w:hAnsi="仿宋_GB2312" w:cs="仿宋_GB2312"/>
          <w:spacing w:val="0"/>
          <w:sz w:val="30"/>
          <w:szCs w:val="30"/>
          <w:lang w:val="en-US" w:eastAsia="zh-CN"/>
        </w:rPr>
        <w:t>30</w:t>
      </w:r>
      <w:r>
        <w:rPr>
          <w:rFonts w:hint="eastAsia" w:ascii="仿宋_GB2312" w:hAnsi="仿宋_GB2312" w:eastAsia="仿宋_GB2312" w:cs="仿宋_GB2312"/>
          <w:spacing w:val="0"/>
          <w:sz w:val="30"/>
          <w:szCs w:val="30"/>
          <w:lang w:val="en-US" w:eastAsia="zh-CN"/>
        </w:rPr>
        <w:t>日印</w:t>
      </w:r>
      <w:r>
        <w:rPr>
          <w:rFonts w:hint="eastAsia" w:ascii="仿宋_GB2312" w:hAnsi="仿宋_GB2312" w:eastAsia="仿宋_GB2312" w:cs="仿宋_GB2312"/>
          <w:spacing w:val="0"/>
          <w:sz w:val="30"/>
          <w:szCs w:val="30"/>
        </w:rPr>
        <w:t>发</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福州市长乐区招商引资中介奖励办法</w:t>
      </w:r>
    </w:p>
    <w:p>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pPr>
    </w:p>
    <w:p>
      <w:pPr>
        <w:keepNext w:val="0"/>
        <w:keepLines w:val="0"/>
        <w:pageBreakBefore w:val="0"/>
        <w:widowControl w:val="0"/>
        <w:kinsoku/>
        <w:wordWrap/>
        <w:overflowPunct/>
        <w:topLinePunct w:val="0"/>
        <w:autoSpaceDE/>
        <w:autoSpaceDN/>
        <w:bidi w:val="0"/>
        <w:adjustRightInd/>
        <w:snapToGrid w:val="0"/>
        <w:spacing w:line="560" w:lineRule="exact"/>
        <w:ind w:firstLine="654" w:firstLineChars="200"/>
        <w:textAlignment w:val="auto"/>
        <w:rPr>
          <w:rFonts w:ascii="仿宋_GB2312"/>
          <w:color w:val="000000"/>
          <w:szCs w:val="32"/>
        </w:rPr>
      </w:pPr>
      <w:r>
        <w:rPr>
          <w:rFonts w:hint="eastAsia" w:ascii="仿宋_GB2312"/>
          <w:color w:val="000000"/>
          <w:szCs w:val="32"/>
        </w:rPr>
        <w:t>为进一步加大招商引资力度，</w:t>
      </w:r>
      <w:r>
        <w:rPr>
          <w:rFonts w:hint="eastAsia" w:ascii="仿宋_GB2312"/>
          <w:color w:val="000000"/>
          <w:szCs w:val="32"/>
          <w:lang w:val="en-US" w:eastAsia="zh-CN"/>
        </w:rPr>
        <w:t>创新招商办法</w:t>
      </w:r>
      <w:r>
        <w:rPr>
          <w:rFonts w:hint="eastAsia" w:ascii="仿宋_GB2312"/>
          <w:color w:val="000000"/>
          <w:szCs w:val="32"/>
        </w:rPr>
        <w:t>，鼓励以商招商、</w:t>
      </w:r>
      <w:r>
        <w:rPr>
          <w:rFonts w:hint="eastAsia" w:ascii="仿宋_GB2312"/>
          <w:color w:val="000000"/>
          <w:szCs w:val="32"/>
          <w:lang w:val="en-US" w:eastAsia="zh-CN"/>
        </w:rPr>
        <w:t>产业链招商</w:t>
      </w:r>
      <w:r>
        <w:rPr>
          <w:rFonts w:hint="eastAsia" w:ascii="仿宋_GB2312"/>
          <w:color w:val="000000"/>
          <w:szCs w:val="32"/>
          <w:lang w:eastAsia="zh-CN"/>
        </w:rPr>
        <w:t>、</w:t>
      </w:r>
      <w:r>
        <w:rPr>
          <w:rFonts w:hint="eastAsia" w:ascii="仿宋_GB2312"/>
          <w:color w:val="000000"/>
          <w:szCs w:val="32"/>
        </w:rPr>
        <w:t>龙头企业和中介招商，拓展招商渠道、提升招商质量，加快培育壮大产业集群，为长乐区经济</w:t>
      </w:r>
      <w:r>
        <w:rPr>
          <w:rFonts w:hint="eastAsia" w:ascii="仿宋_GB2312"/>
          <w:color w:val="000000"/>
          <w:szCs w:val="32"/>
          <w:lang w:val="en-US" w:eastAsia="zh-CN"/>
        </w:rPr>
        <w:t>高质量</w:t>
      </w:r>
      <w:r>
        <w:rPr>
          <w:rFonts w:hint="eastAsia" w:ascii="仿宋_GB2312"/>
          <w:color w:val="000000"/>
          <w:szCs w:val="32"/>
        </w:rPr>
        <w:t>发展提供坚实基础，特制定本办法。</w:t>
      </w:r>
    </w:p>
    <w:p>
      <w:pPr>
        <w:keepNext w:val="0"/>
        <w:keepLines w:val="0"/>
        <w:pageBreakBefore w:val="0"/>
        <w:widowControl w:val="0"/>
        <w:kinsoku/>
        <w:wordWrap/>
        <w:overflowPunct/>
        <w:topLinePunct w:val="0"/>
        <w:autoSpaceDE/>
        <w:autoSpaceDN/>
        <w:bidi w:val="0"/>
        <w:adjustRightInd/>
        <w:snapToGrid w:val="0"/>
        <w:spacing w:line="560" w:lineRule="exact"/>
        <w:ind w:firstLine="654" w:firstLineChars="200"/>
        <w:textAlignment w:val="auto"/>
        <w:rPr>
          <w:rFonts w:ascii="仿宋_GB2312"/>
          <w:color w:val="000000"/>
          <w:szCs w:val="32"/>
        </w:rPr>
      </w:pPr>
      <w:r>
        <w:rPr>
          <w:rFonts w:hint="eastAsia" w:ascii="黑体" w:hAnsi="黑体" w:eastAsia="黑体"/>
          <w:color w:val="000000"/>
          <w:szCs w:val="32"/>
        </w:rPr>
        <w:t>一、龙头企业招商奖励方面</w:t>
      </w:r>
    </w:p>
    <w:p>
      <w:pPr>
        <w:keepNext w:val="0"/>
        <w:keepLines w:val="0"/>
        <w:pageBreakBefore w:val="0"/>
        <w:widowControl w:val="0"/>
        <w:kinsoku/>
        <w:wordWrap/>
        <w:overflowPunct/>
        <w:topLinePunct w:val="0"/>
        <w:autoSpaceDE/>
        <w:autoSpaceDN/>
        <w:bidi w:val="0"/>
        <w:adjustRightInd/>
        <w:snapToGrid w:val="0"/>
        <w:spacing w:line="560" w:lineRule="exact"/>
        <w:ind w:firstLine="654" w:firstLineChars="200"/>
        <w:textAlignment w:val="auto"/>
        <w:rPr>
          <w:rFonts w:ascii="仿宋_GB2312"/>
          <w:color w:val="000000"/>
          <w:szCs w:val="32"/>
        </w:rPr>
      </w:pPr>
      <w:r>
        <w:rPr>
          <w:rFonts w:hint="eastAsia" w:ascii="仿宋_GB2312"/>
          <w:color w:val="000000"/>
          <w:szCs w:val="32"/>
        </w:rPr>
        <w:t>适用对象为招引其上下游企业入驻长乐区的行业龙头企业，行业龙头企业</w:t>
      </w:r>
      <w:bookmarkStart w:id="0" w:name="_Toc100656334"/>
      <w:r>
        <w:rPr>
          <w:rFonts w:hint="eastAsia" w:ascii="仿宋_GB2312"/>
          <w:color w:val="000000"/>
          <w:szCs w:val="32"/>
        </w:rPr>
        <w:t>指符合《福州市人民政府关于印发培育</w:t>
      </w:r>
      <w:bookmarkStart w:id="1" w:name="龙头企业工作方案及政策措施的通知"/>
      <w:bookmarkEnd w:id="1"/>
      <w:r>
        <w:rPr>
          <w:rFonts w:hint="eastAsia" w:ascii="仿宋_GB2312"/>
          <w:color w:val="000000"/>
          <w:szCs w:val="32"/>
        </w:rPr>
        <w:t>龙头企业工作方案及政策措施的通知</w:t>
      </w:r>
      <w:bookmarkEnd w:id="0"/>
      <w:r>
        <w:rPr>
          <w:rFonts w:hint="eastAsia" w:ascii="仿宋_GB2312"/>
          <w:color w:val="000000"/>
          <w:szCs w:val="32"/>
        </w:rPr>
        <w:t>》（榕政综〔</w:t>
      </w:r>
      <w:r>
        <w:rPr>
          <w:rFonts w:ascii="仿宋_GB2312"/>
          <w:color w:val="000000"/>
          <w:szCs w:val="32"/>
        </w:rPr>
        <w:t>2020</w:t>
      </w:r>
      <w:r>
        <w:rPr>
          <w:rFonts w:hint="eastAsia" w:ascii="仿宋_GB2312"/>
          <w:color w:val="000000"/>
          <w:szCs w:val="32"/>
        </w:rPr>
        <w:t>〕</w:t>
      </w:r>
      <w:r>
        <w:rPr>
          <w:rFonts w:ascii="仿宋_GB2312"/>
          <w:color w:val="000000"/>
          <w:szCs w:val="32"/>
        </w:rPr>
        <w:t>261</w:t>
      </w:r>
      <w:r>
        <w:rPr>
          <w:rFonts w:hint="eastAsia" w:ascii="仿宋_GB2312"/>
          <w:color w:val="000000"/>
          <w:szCs w:val="32"/>
        </w:rPr>
        <w:t>号）龙头企业标准或者经长乐区政府同意认定的行业龙头企业。其招商入驻的企业须在长乐区内依法注册登记并纳税纳统，且为新设立或福州市域外引进，为行业龙头企业利用现有楼宇或厂房</w:t>
      </w:r>
      <w:r>
        <w:rPr>
          <w:rFonts w:hint="eastAsia" w:ascii="仿宋_GB2312"/>
          <w:szCs w:val="32"/>
        </w:rPr>
        <w:t>运营</w:t>
      </w:r>
      <w:r>
        <w:rPr>
          <w:rFonts w:hint="eastAsia" w:ascii="仿宋_GB2312"/>
          <w:color w:val="000000"/>
          <w:szCs w:val="32"/>
        </w:rPr>
        <w:t>自主产业园区招商入驻的企业。</w:t>
      </w:r>
      <w:r>
        <w:rPr>
          <w:rFonts w:ascii="仿宋_GB2312"/>
          <w:color w:val="000000"/>
          <w:szCs w:val="32"/>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54" w:firstLineChars="200"/>
        <w:textAlignment w:val="auto"/>
        <w:rPr>
          <w:rFonts w:hint="eastAsia" w:ascii="仿宋_GB2312" w:eastAsia="仿宋_GB2312"/>
          <w:color w:val="000000"/>
          <w:szCs w:val="32"/>
          <w:lang w:eastAsia="zh-CN"/>
        </w:rPr>
      </w:pPr>
      <w:r>
        <w:rPr>
          <w:rFonts w:hint="eastAsia" w:ascii="楷体_GB2312" w:hAnsi="楷体_GB2312" w:eastAsia="楷体_GB2312" w:cs="楷体_GB2312"/>
          <w:b/>
          <w:bCs/>
          <w:color w:val="000000"/>
          <w:szCs w:val="32"/>
        </w:rPr>
        <w:t>（一）经营贡献奖励。</w:t>
      </w:r>
      <w:r>
        <w:rPr>
          <w:rFonts w:hint="eastAsia" w:ascii="仿宋_GB2312"/>
          <w:color w:val="000000"/>
          <w:szCs w:val="32"/>
        </w:rPr>
        <w:t>入驻企业年度地方经济贡献超过</w:t>
      </w:r>
      <w:r>
        <w:rPr>
          <w:rFonts w:ascii="仿宋_GB2312"/>
          <w:color w:val="000000"/>
          <w:szCs w:val="32"/>
        </w:rPr>
        <w:t>20</w:t>
      </w:r>
      <w:r>
        <w:rPr>
          <w:rFonts w:hint="eastAsia" w:ascii="仿宋_GB2312"/>
          <w:color w:val="000000"/>
          <w:szCs w:val="32"/>
        </w:rPr>
        <w:t>万元（含）的，按其本年度地方经济贡献部分的</w:t>
      </w:r>
      <w:r>
        <w:rPr>
          <w:rFonts w:ascii="仿宋_GB2312"/>
          <w:color w:val="000000"/>
          <w:szCs w:val="32"/>
        </w:rPr>
        <w:t>40%</w:t>
      </w:r>
      <w:r>
        <w:rPr>
          <w:rFonts w:hint="eastAsia" w:ascii="仿宋_GB2312"/>
          <w:color w:val="000000"/>
          <w:szCs w:val="32"/>
        </w:rPr>
        <w:t>给予奖励，奖励兑现给开展以商招商的行业龙头企业，申请本条政策后入驻企业不再享受其他与长乐地方经济贡献相关的政策</w:t>
      </w:r>
      <w:r>
        <w:rPr>
          <w:rFonts w:hint="eastAsia" w:ascii="仿宋_GB2312"/>
          <w:color w:val="000000"/>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54" w:firstLineChars="200"/>
        <w:textAlignment w:val="auto"/>
        <w:rPr>
          <w:rFonts w:ascii="仿宋_GB2312"/>
          <w:color w:val="000000"/>
          <w:szCs w:val="32"/>
        </w:rPr>
      </w:pPr>
      <w:r>
        <w:rPr>
          <w:rFonts w:hint="eastAsia" w:ascii="楷体_GB2312" w:hAnsi="楷体_GB2312" w:eastAsia="楷体_GB2312" w:cs="楷体_GB2312"/>
          <w:b/>
          <w:bCs/>
          <w:color w:val="000000"/>
          <w:szCs w:val="32"/>
        </w:rPr>
        <w:t>（二）人才激励。</w:t>
      </w:r>
      <w:r>
        <w:rPr>
          <w:rFonts w:hint="eastAsia" w:ascii="仿宋_GB2312"/>
          <w:color w:val="000000"/>
          <w:szCs w:val="32"/>
        </w:rPr>
        <w:t>入驻企业工薪个人所得税年纳税额在</w:t>
      </w:r>
      <w:r>
        <w:rPr>
          <w:rFonts w:ascii="仿宋_GB2312"/>
          <w:color w:val="000000"/>
          <w:szCs w:val="32"/>
        </w:rPr>
        <w:t>2</w:t>
      </w:r>
      <w:r>
        <w:rPr>
          <w:rFonts w:hint="eastAsia" w:ascii="仿宋_GB2312"/>
          <w:color w:val="000000"/>
          <w:szCs w:val="32"/>
        </w:rPr>
        <w:t>万元以上的员工，可按其年度个人工薪对地方经济贡献的</w:t>
      </w:r>
      <w:r>
        <w:rPr>
          <w:rFonts w:ascii="仿宋_GB2312"/>
          <w:color w:val="000000"/>
          <w:szCs w:val="32"/>
        </w:rPr>
        <w:t>80%</w:t>
      </w:r>
      <w:r>
        <w:rPr>
          <w:rFonts w:hint="eastAsia" w:ascii="仿宋_GB2312"/>
          <w:color w:val="000000"/>
          <w:szCs w:val="32"/>
        </w:rPr>
        <w:t>予以奖励给员工，奖励期不超过</w:t>
      </w:r>
      <w:r>
        <w:rPr>
          <w:rFonts w:ascii="仿宋_GB2312"/>
          <w:color w:val="000000"/>
          <w:szCs w:val="32"/>
        </w:rPr>
        <w:t>5</w:t>
      </w:r>
      <w:r>
        <w:rPr>
          <w:rFonts w:hint="eastAsia" w:ascii="仿宋_GB2312"/>
          <w:color w:val="000000"/>
          <w:szCs w:val="32"/>
        </w:rPr>
        <w:t>年。需提供长乐本地消费凭证（包括但不限于购房购车发票、教育培训费等）作为申报依据。</w:t>
      </w:r>
    </w:p>
    <w:p>
      <w:pPr>
        <w:keepNext w:val="0"/>
        <w:keepLines w:val="0"/>
        <w:pageBreakBefore w:val="0"/>
        <w:widowControl w:val="0"/>
        <w:kinsoku/>
        <w:wordWrap/>
        <w:overflowPunct/>
        <w:topLinePunct w:val="0"/>
        <w:autoSpaceDE/>
        <w:autoSpaceDN/>
        <w:bidi w:val="0"/>
        <w:adjustRightInd/>
        <w:snapToGrid w:val="0"/>
        <w:spacing w:line="560" w:lineRule="exact"/>
        <w:ind w:firstLine="654" w:firstLineChars="200"/>
        <w:textAlignment w:val="auto"/>
        <w:rPr>
          <w:rFonts w:ascii="仿宋_GB2312" w:eastAsia="黑体"/>
          <w:color w:val="000000"/>
          <w:szCs w:val="32"/>
          <w:u w:val="none"/>
        </w:rPr>
      </w:pPr>
      <w:r>
        <w:rPr>
          <w:rFonts w:hint="eastAsia" w:ascii="黑体" w:hAnsi="黑体" w:eastAsia="黑体"/>
          <w:color w:val="000000"/>
          <w:szCs w:val="32"/>
          <w:u w:val="none"/>
        </w:rPr>
        <w:t>二、招商引资中介奖励方面</w:t>
      </w:r>
    </w:p>
    <w:p>
      <w:pPr>
        <w:keepNext w:val="0"/>
        <w:keepLines w:val="0"/>
        <w:pageBreakBefore w:val="0"/>
        <w:widowControl w:val="0"/>
        <w:kinsoku/>
        <w:wordWrap/>
        <w:overflowPunct/>
        <w:topLinePunct w:val="0"/>
        <w:autoSpaceDE/>
        <w:autoSpaceDN/>
        <w:bidi w:val="0"/>
        <w:adjustRightInd/>
        <w:snapToGrid w:val="0"/>
        <w:spacing w:line="560" w:lineRule="exact"/>
        <w:ind w:firstLine="654" w:firstLineChars="200"/>
        <w:textAlignment w:val="auto"/>
        <w:rPr>
          <w:u w:val="none"/>
        </w:rPr>
      </w:pPr>
      <w:r>
        <w:rPr>
          <w:rFonts w:hint="eastAsia" w:ascii="仿宋_GB2312"/>
          <w:color w:val="000000"/>
          <w:szCs w:val="32"/>
          <w:u w:val="none"/>
        </w:rPr>
        <w:t>适用对象为引荐并促成高质量产业项目在长乐区落地、运营、纳税的关键单位或机构，包括特色园区或孵化器运营商、协会商会、产业联盟、民营企业、金融机构、知识产权机构或专业招商代理机构等，不包括福州市各级行政机关、事业单位以及长乐区</w:t>
      </w:r>
      <w:r>
        <w:rPr>
          <w:rFonts w:hint="eastAsia" w:ascii="仿宋_GB2312"/>
          <w:color w:val="000000"/>
          <w:szCs w:val="32"/>
          <w:u w:val="none"/>
          <w:lang w:val="en-US" w:eastAsia="zh-CN"/>
        </w:rPr>
        <w:t>下</w:t>
      </w:r>
      <w:r>
        <w:rPr>
          <w:rFonts w:hint="eastAsia" w:ascii="仿宋_GB2312"/>
          <w:color w:val="000000"/>
          <w:szCs w:val="32"/>
          <w:u w:val="none"/>
        </w:rPr>
        <w:t>属国有企业。</w:t>
      </w:r>
    </w:p>
    <w:p>
      <w:pPr>
        <w:keepNext w:val="0"/>
        <w:keepLines w:val="0"/>
        <w:pageBreakBefore w:val="0"/>
        <w:widowControl w:val="0"/>
        <w:kinsoku/>
        <w:wordWrap/>
        <w:overflowPunct/>
        <w:topLinePunct w:val="0"/>
        <w:autoSpaceDE/>
        <w:autoSpaceDN/>
        <w:bidi w:val="0"/>
        <w:adjustRightInd/>
        <w:snapToGrid w:val="0"/>
        <w:spacing w:line="560" w:lineRule="exact"/>
        <w:ind w:firstLine="654" w:firstLineChars="200"/>
        <w:textAlignment w:val="auto"/>
        <w:rPr>
          <w:rFonts w:ascii="仿宋_GB2312"/>
          <w:color w:val="000000"/>
          <w:szCs w:val="32"/>
          <w:u w:val="none"/>
        </w:rPr>
      </w:pPr>
      <w:r>
        <w:rPr>
          <w:rFonts w:hint="eastAsia" w:ascii="仿宋_GB2312"/>
          <w:color w:val="000000"/>
          <w:szCs w:val="32"/>
          <w:u w:val="none"/>
        </w:rPr>
        <w:t>（一）引进项目在落地后实缴注册资本（不包含福州市域内财政、国有出资部分）</w:t>
      </w:r>
      <w:r>
        <w:rPr>
          <w:rFonts w:hint="eastAsia" w:ascii="仿宋_GB2312"/>
          <w:color w:val="000000"/>
          <w:szCs w:val="32"/>
          <w:u w:val="none"/>
          <w:lang w:val="en-US" w:eastAsia="zh-CN"/>
        </w:rPr>
        <w:t>三</w:t>
      </w:r>
      <w:r>
        <w:rPr>
          <w:rFonts w:hint="eastAsia" w:ascii="仿宋_GB2312"/>
          <w:color w:val="000000"/>
          <w:szCs w:val="32"/>
          <w:u w:val="none"/>
        </w:rPr>
        <w:t>年内</w:t>
      </w:r>
      <w:r>
        <w:rPr>
          <w:rFonts w:hint="eastAsia" w:ascii="仿宋_GB2312"/>
          <w:color w:val="000000"/>
          <w:szCs w:val="32"/>
          <w:u w:val="none"/>
          <w:lang w:val="en-US" w:eastAsia="zh-CN"/>
        </w:rPr>
        <w:t>累计</w:t>
      </w:r>
      <w:r>
        <w:rPr>
          <w:rFonts w:hint="eastAsia" w:ascii="仿宋_GB2312"/>
          <w:color w:val="000000"/>
          <w:szCs w:val="32"/>
          <w:u w:val="none"/>
        </w:rPr>
        <w:t>达到</w:t>
      </w:r>
      <w:r>
        <w:rPr>
          <w:rFonts w:ascii="仿宋_GB2312"/>
          <w:color w:val="000000"/>
          <w:szCs w:val="32"/>
          <w:u w:val="none"/>
        </w:rPr>
        <w:t>2000</w:t>
      </w:r>
      <w:r>
        <w:rPr>
          <w:rFonts w:hint="eastAsia" w:ascii="仿宋_GB2312"/>
          <w:color w:val="000000"/>
          <w:szCs w:val="32"/>
          <w:u w:val="none"/>
        </w:rPr>
        <w:t>万元（含）的，一次性奖励中介</w:t>
      </w:r>
      <w:r>
        <w:rPr>
          <w:rFonts w:ascii="仿宋_GB2312"/>
          <w:color w:val="000000"/>
          <w:szCs w:val="32"/>
          <w:u w:val="none"/>
        </w:rPr>
        <w:t>20</w:t>
      </w:r>
      <w:r>
        <w:rPr>
          <w:rFonts w:hint="eastAsia" w:ascii="仿宋_GB2312"/>
          <w:color w:val="000000"/>
          <w:szCs w:val="32"/>
          <w:u w:val="none"/>
        </w:rPr>
        <w:t>万元。</w:t>
      </w:r>
    </w:p>
    <w:p>
      <w:pPr>
        <w:keepNext w:val="0"/>
        <w:keepLines w:val="0"/>
        <w:pageBreakBefore w:val="0"/>
        <w:widowControl w:val="0"/>
        <w:kinsoku/>
        <w:wordWrap/>
        <w:overflowPunct/>
        <w:topLinePunct w:val="0"/>
        <w:autoSpaceDE/>
        <w:autoSpaceDN/>
        <w:bidi w:val="0"/>
        <w:adjustRightInd/>
        <w:snapToGrid w:val="0"/>
        <w:spacing w:line="560" w:lineRule="exact"/>
        <w:ind w:firstLine="654" w:firstLineChars="200"/>
        <w:textAlignment w:val="auto"/>
        <w:rPr>
          <w:rFonts w:ascii="仿宋_GB2312"/>
          <w:color w:val="000000"/>
          <w:szCs w:val="32"/>
          <w:u w:val="none"/>
        </w:rPr>
      </w:pPr>
      <w:r>
        <w:rPr>
          <w:rFonts w:hint="eastAsia" w:ascii="仿宋_GB2312"/>
          <w:color w:val="000000"/>
          <w:szCs w:val="32"/>
          <w:u w:val="none"/>
        </w:rPr>
        <w:t>（二）引进项目在落地后固定资产投入</w:t>
      </w:r>
      <w:r>
        <w:rPr>
          <w:rFonts w:hint="eastAsia" w:ascii="仿宋_GB2312"/>
          <w:color w:val="000000"/>
          <w:szCs w:val="32"/>
          <w:u w:val="none"/>
          <w:lang w:val="en-US" w:eastAsia="zh-CN"/>
        </w:rPr>
        <w:t>两</w:t>
      </w:r>
      <w:r>
        <w:rPr>
          <w:rFonts w:hint="eastAsia" w:ascii="仿宋_GB2312"/>
          <w:color w:val="000000"/>
          <w:szCs w:val="32"/>
          <w:u w:val="none"/>
        </w:rPr>
        <w:t>年内</w:t>
      </w:r>
      <w:r>
        <w:rPr>
          <w:rFonts w:hint="eastAsia" w:ascii="仿宋_GB2312"/>
          <w:color w:val="000000"/>
          <w:szCs w:val="32"/>
          <w:u w:val="none"/>
          <w:lang w:val="en-US" w:eastAsia="zh-CN"/>
        </w:rPr>
        <w:t>累计</w:t>
      </w:r>
      <w:r>
        <w:rPr>
          <w:rFonts w:hint="eastAsia" w:ascii="仿宋_GB2312"/>
          <w:color w:val="000000"/>
          <w:szCs w:val="32"/>
          <w:u w:val="none"/>
        </w:rPr>
        <w:t>达到</w:t>
      </w:r>
      <w:r>
        <w:rPr>
          <w:rFonts w:ascii="仿宋_GB2312"/>
          <w:color w:val="000000"/>
          <w:szCs w:val="32"/>
          <w:u w:val="none"/>
        </w:rPr>
        <w:t>2500</w:t>
      </w:r>
      <w:r>
        <w:rPr>
          <w:rFonts w:hint="eastAsia" w:ascii="仿宋_GB2312"/>
          <w:color w:val="000000"/>
          <w:szCs w:val="32"/>
          <w:u w:val="none"/>
        </w:rPr>
        <w:t>（含）万元以上的，</w:t>
      </w:r>
      <w:r>
        <w:rPr>
          <w:rFonts w:hint="eastAsia" w:ascii="仿宋_GB2312"/>
          <w:color w:val="000000"/>
          <w:szCs w:val="32"/>
          <w:u w:val="none"/>
          <w:lang w:val="en-US" w:eastAsia="zh-CN"/>
        </w:rPr>
        <w:t>一次性奖励中介</w:t>
      </w:r>
      <w:r>
        <w:rPr>
          <w:rFonts w:ascii="仿宋_GB2312"/>
          <w:color w:val="000000"/>
          <w:szCs w:val="32"/>
          <w:u w:val="none"/>
        </w:rPr>
        <w:t>40</w:t>
      </w:r>
      <w:r>
        <w:rPr>
          <w:rFonts w:hint="eastAsia" w:ascii="仿宋_GB2312"/>
          <w:color w:val="000000"/>
          <w:szCs w:val="32"/>
          <w:u w:val="none"/>
        </w:rPr>
        <w:t>万元。</w:t>
      </w:r>
    </w:p>
    <w:p>
      <w:pPr>
        <w:keepNext w:val="0"/>
        <w:keepLines w:val="0"/>
        <w:pageBreakBefore w:val="0"/>
        <w:widowControl w:val="0"/>
        <w:kinsoku/>
        <w:wordWrap/>
        <w:overflowPunct/>
        <w:topLinePunct w:val="0"/>
        <w:autoSpaceDE/>
        <w:autoSpaceDN/>
        <w:bidi w:val="0"/>
        <w:adjustRightInd/>
        <w:snapToGrid w:val="0"/>
        <w:spacing w:line="560" w:lineRule="exact"/>
        <w:ind w:firstLine="654" w:firstLineChars="200"/>
        <w:textAlignment w:val="auto"/>
        <w:rPr>
          <w:rFonts w:ascii="仿宋_GB2312"/>
          <w:color w:val="000000"/>
          <w:szCs w:val="32"/>
          <w:u w:val="none"/>
        </w:rPr>
      </w:pPr>
      <w:r>
        <w:rPr>
          <w:rFonts w:hint="eastAsia" w:ascii="仿宋_GB2312"/>
          <w:color w:val="000000"/>
          <w:szCs w:val="32"/>
          <w:u w:val="none"/>
        </w:rPr>
        <w:t>（三）引进项目在落地后三年内工业产值或营业收入（不含贸易、零售、电商流水）累计达到</w:t>
      </w:r>
      <w:r>
        <w:rPr>
          <w:rFonts w:ascii="仿宋_GB2312"/>
          <w:color w:val="000000"/>
          <w:szCs w:val="32"/>
          <w:u w:val="none"/>
        </w:rPr>
        <w:t>10</w:t>
      </w:r>
      <w:r>
        <w:rPr>
          <w:rFonts w:hint="eastAsia" w:ascii="仿宋_GB2312"/>
          <w:color w:val="000000"/>
          <w:szCs w:val="32"/>
          <w:u w:val="none"/>
        </w:rPr>
        <w:t>亿元（含）以上的，奖励中介</w:t>
      </w:r>
      <w:r>
        <w:rPr>
          <w:rFonts w:ascii="仿宋_GB2312"/>
          <w:color w:val="000000"/>
          <w:szCs w:val="32"/>
          <w:u w:val="none"/>
        </w:rPr>
        <w:t>5</w:t>
      </w:r>
      <w:r>
        <w:rPr>
          <w:rFonts w:hint="eastAsia" w:ascii="仿宋_GB2312"/>
          <w:color w:val="000000"/>
          <w:szCs w:val="32"/>
          <w:u w:val="none"/>
        </w:rPr>
        <w:t>万元；达到</w:t>
      </w:r>
      <w:r>
        <w:rPr>
          <w:rFonts w:ascii="仿宋_GB2312"/>
          <w:color w:val="000000"/>
          <w:szCs w:val="32"/>
          <w:u w:val="none"/>
        </w:rPr>
        <w:t>20</w:t>
      </w:r>
      <w:r>
        <w:rPr>
          <w:rFonts w:hint="eastAsia" w:ascii="仿宋_GB2312"/>
          <w:color w:val="000000"/>
          <w:szCs w:val="32"/>
          <w:u w:val="none"/>
        </w:rPr>
        <w:t>亿元以上的，再奖励中介</w:t>
      </w:r>
      <w:r>
        <w:rPr>
          <w:rFonts w:ascii="仿宋_GB2312"/>
          <w:color w:val="000000"/>
          <w:szCs w:val="32"/>
          <w:u w:val="none"/>
        </w:rPr>
        <w:t>5</w:t>
      </w:r>
      <w:r>
        <w:rPr>
          <w:rFonts w:hint="eastAsia" w:ascii="仿宋_GB2312"/>
          <w:color w:val="000000"/>
          <w:szCs w:val="32"/>
          <w:u w:val="none"/>
        </w:rPr>
        <w:t>万元，合计不超过</w:t>
      </w:r>
      <w:r>
        <w:rPr>
          <w:rFonts w:ascii="仿宋_GB2312"/>
          <w:color w:val="000000"/>
          <w:szCs w:val="32"/>
          <w:u w:val="none"/>
        </w:rPr>
        <w:t>10</w:t>
      </w:r>
      <w:r>
        <w:rPr>
          <w:rFonts w:hint="eastAsia" w:ascii="仿宋_GB2312"/>
          <w:color w:val="000000"/>
          <w:szCs w:val="32"/>
          <w:u w:val="none"/>
        </w:rPr>
        <w:t>万元。</w:t>
      </w:r>
    </w:p>
    <w:p>
      <w:pPr>
        <w:keepNext w:val="0"/>
        <w:keepLines w:val="0"/>
        <w:pageBreakBefore w:val="0"/>
        <w:widowControl w:val="0"/>
        <w:kinsoku/>
        <w:wordWrap/>
        <w:overflowPunct/>
        <w:topLinePunct w:val="0"/>
        <w:autoSpaceDE/>
        <w:autoSpaceDN/>
        <w:bidi w:val="0"/>
        <w:adjustRightInd/>
        <w:snapToGrid w:val="0"/>
        <w:spacing w:line="560" w:lineRule="exact"/>
        <w:ind w:firstLine="654" w:firstLineChars="200"/>
        <w:textAlignment w:val="auto"/>
        <w:rPr>
          <w:rFonts w:ascii="仿宋_GB2312"/>
          <w:color w:val="000000"/>
          <w:szCs w:val="32"/>
          <w:u w:val="none"/>
        </w:rPr>
      </w:pPr>
      <w:r>
        <w:rPr>
          <w:rFonts w:hint="eastAsia" w:ascii="仿宋_GB2312"/>
          <w:color w:val="000000"/>
          <w:szCs w:val="32"/>
          <w:u w:val="none"/>
        </w:rPr>
        <w:t>（四）引进项目在落地后三年内被认定为国家级高新技术企业的，一次性奖励中介</w:t>
      </w:r>
      <w:r>
        <w:rPr>
          <w:rFonts w:ascii="仿宋_GB2312"/>
          <w:color w:val="000000"/>
          <w:szCs w:val="32"/>
          <w:u w:val="none"/>
        </w:rPr>
        <w:t>3</w:t>
      </w:r>
      <w:r>
        <w:rPr>
          <w:rFonts w:hint="eastAsia" w:ascii="仿宋_GB2312"/>
          <w:color w:val="000000"/>
          <w:szCs w:val="32"/>
          <w:u w:val="none"/>
        </w:rPr>
        <w:t>万元；引进项目被列入福建省发改委发布的省重点项目名单的，一次性奖励中介</w:t>
      </w:r>
      <w:r>
        <w:rPr>
          <w:rFonts w:ascii="仿宋_GB2312"/>
          <w:color w:val="000000"/>
          <w:szCs w:val="32"/>
          <w:u w:val="none"/>
        </w:rPr>
        <w:t>5</w:t>
      </w:r>
      <w:r>
        <w:rPr>
          <w:rFonts w:hint="eastAsia" w:ascii="仿宋_GB2312"/>
          <w:color w:val="000000"/>
          <w:szCs w:val="32"/>
          <w:u w:val="none"/>
        </w:rPr>
        <w:t>万元奖励；引进项目在落地后三年内完成在境内外主板、科创板等上市的，一次性奖励中介</w:t>
      </w:r>
      <w:r>
        <w:rPr>
          <w:rFonts w:ascii="仿宋_GB2312"/>
          <w:color w:val="000000"/>
          <w:szCs w:val="32"/>
          <w:u w:val="none"/>
        </w:rPr>
        <w:t>10</w:t>
      </w:r>
      <w:r>
        <w:rPr>
          <w:rFonts w:hint="eastAsia" w:ascii="仿宋_GB2312"/>
          <w:color w:val="000000"/>
          <w:szCs w:val="32"/>
          <w:u w:val="none"/>
        </w:rPr>
        <w:t>万元。</w:t>
      </w:r>
    </w:p>
    <w:p>
      <w:pPr>
        <w:keepNext w:val="0"/>
        <w:keepLines w:val="0"/>
        <w:pageBreakBefore w:val="0"/>
        <w:widowControl w:val="0"/>
        <w:kinsoku/>
        <w:wordWrap/>
        <w:overflowPunct/>
        <w:topLinePunct w:val="0"/>
        <w:autoSpaceDE/>
        <w:autoSpaceDN/>
        <w:bidi w:val="0"/>
        <w:adjustRightInd/>
        <w:snapToGrid w:val="0"/>
        <w:spacing w:line="560" w:lineRule="exact"/>
        <w:ind w:firstLine="654" w:firstLineChars="200"/>
        <w:textAlignment w:val="auto"/>
        <w:rPr>
          <w:rFonts w:ascii="仿宋_GB2312"/>
          <w:color w:val="000000"/>
          <w:szCs w:val="32"/>
          <w:u w:val="none"/>
        </w:rPr>
      </w:pPr>
      <w:r>
        <w:rPr>
          <w:rFonts w:hint="eastAsia" w:ascii="仿宋_GB2312"/>
          <w:color w:val="000000"/>
          <w:szCs w:val="32"/>
          <w:u w:val="none"/>
        </w:rPr>
        <w:t>（五）引进项目在落地后三年内被福州市认定为行业龙头企业的，按引进项目被认定为龙头企业的当年度地方经济贡献的</w:t>
      </w:r>
      <w:r>
        <w:rPr>
          <w:rFonts w:ascii="仿宋_GB2312"/>
          <w:color w:val="000000"/>
          <w:szCs w:val="32"/>
          <w:u w:val="none"/>
        </w:rPr>
        <w:t>5%</w:t>
      </w:r>
      <w:r>
        <w:rPr>
          <w:rFonts w:hint="eastAsia" w:ascii="仿宋_GB2312"/>
          <w:color w:val="000000"/>
          <w:szCs w:val="32"/>
          <w:u w:val="none"/>
        </w:rPr>
        <w:t>给予中介一次性奖励，最高不超过</w:t>
      </w:r>
      <w:r>
        <w:rPr>
          <w:rFonts w:ascii="仿宋_GB2312"/>
          <w:color w:val="000000"/>
          <w:szCs w:val="32"/>
          <w:u w:val="none"/>
        </w:rPr>
        <w:t>300</w:t>
      </w:r>
      <w:r>
        <w:rPr>
          <w:rFonts w:hint="eastAsia" w:ascii="仿宋_GB2312"/>
          <w:color w:val="000000"/>
          <w:szCs w:val="32"/>
          <w:u w:val="none"/>
        </w:rPr>
        <w:t>万元。</w:t>
      </w:r>
      <w:r>
        <w:rPr>
          <w:rFonts w:ascii="仿宋_GB2312"/>
          <w:color w:val="000000"/>
          <w:szCs w:val="32"/>
          <w:u w:val="none"/>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54" w:firstLineChars="200"/>
        <w:textAlignment w:val="auto"/>
        <w:rPr>
          <w:rFonts w:hint="eastAsia" w:ascii="仿宋_GB2312"/>
          <w:color w:val="000000"/>
          <w:szCs w:val="32"/>
          <w:u w:val="none"/>
        </w:rPr>
      </w:pPr>
      <w:r>
        <w:rPr>
          <w:rFonts w:hint="eastAsia" w:ascii="仿宋_GB2312"/>
          <w:color w:val="000000"/>
          <w:szCs w:val="32"/>
          <w:u w:val="none"/>
        </w:rPr>
        <w:t>（六）为鼓励异地商会招引高质量项目和高层次人才，重点扶持</w:t>
      </w:r>
      <w:r>
        <w:rPr>
          <w:rFonts w:hint="eastAsia" w:ascii="仿宋_GB2312"/>
          <w:color w:val="000000"/>
          <w:szCs w:val="32"/>
          <w:u w:val="none"/>
          <w:lang w:val="en-US" w:eastAsia="zh-CN"/>
        </w:rPr>
        <w:t>若干家</w:t>
      </w:r>
      <w:r>
        <w:rPr>
          <w:rFonts w:hint="eastAsia" w:ascii="仿宋_GB2312"/>
          <w:color w:val="000000"/>
          <w:szCs w:val="32"/>
          <w:u w:val="none"/>
        </w:rPr>
        <w:t>异地商会，每家</w:t>
      </w:r>
      <w:r>
        <w:rPr>
          <w:rFonts w:hint="eastAsia" w:ascii="仿宋_GB2312"/>
          <w:color w:val="000000"/>
          <w:szCs w:val="32"/>
          <w:u w:val="none"/>
          <w:lang w:val="en-US" w:eastAsia="zh-CN"/>
        </w:rPr>
        <w:t>定期</w:t>
      </w:r>
      <w:r>
        <w:rPr>
          <w:rFonts w:hint="eastAsia" w:ascii="仿宋_GB2312"/>
          <w:color w:val="000000"/>
          <w:szCs w:val="32"/>
          <w:u w:val="none"/>
        </w:rPr>
        <w:t>给予</w:t>
      </w:r>
      <w:r>
        <w:rPr>
          <w:rFonts w:hint="eastAsia" w:ascii="仿宋_GB2312"/>
          <w:color w:val="000000"/>
          <w:szCs w:val="32"/>
          <w:u w:val="none"/>
          <w:lang w:val="en-US" w:eastAsia="zh-CN"/>
        </w:rPr>
        <w:t>一定</w:t>
      </w:r>
      <w:r>
        <w:rPr>
          <w:rFonts w:hint="eastAsia" w:ascii="仿宋_GB2312"/>
          <w:color w:val="000000"/>
          <w:szCs w:val="32"/>
          <w:u w:val="none"/>
        </w:rPr>
        <w:t>经费奖励。对其中招商引才贡献最大的关键个人，符合人大代表</w:t>
      </w:r>
      <w:bookmarkStart w:id="2" w:name="_GoBack"/>
      <w:bookmarkEnd w:id="2"/>
      <w:r>
        <w:rPr>
          <w:rFonts w:hint="eastAsia" w:ascii="仿宋_GB2312"/>
          <w:color w:val="000000"/>
          <w:szCs w:val="32"/>
          <w:u w:val="none"/>
        </w:rPr>
        <w:t>、政协委员提名条件的，由相关部门按程序推荐，其义务教育及学前阶段的子女由区教育部门统筹安排优质学校。</w:t>
      </w:r>
    </w:p>
    <w:p>
      <w:pPr>
        <w:keepNext w:val="0"/>
        <w:keepLines w:val="0"/>
        <w:pageBreakBefore w:val="0"/>
        <w:widowControl w:val="0"/>
        <w:kinsoku/>
        <w:wordWrap/>
        <w:overflowPunct/>
        <w:topLinePunct w:val="0"/>
        <w:autoSpaceDE/>
        <w:autoSpaceDN/>
        <w:bidi w:val="0"/>
        <w:adjustRightInd/>
        <w:snapToGrid w:val="0"/>
        <w:spacing w:line="560" w:lineRule="exact"/>
        <w:ind w:firstLine="654" w:firstLineChars="200"/>
        <w:textAlignment w:val="auto"/>
        <w:rPr>
          <w:rFonts w:ascii="黑体" w:hAnsi="黑体" w:eastAsia="黑体"/>
          <w:color w:val="000000"/>
          <w:szCs w:val="32"/>
          <w:u w:val="none"/>
        </w:rPr>
      </w:pPr>
      <w:r>
        <w:rPr>
          <w:rFonts w:hint="eastAsia" w:ascii="黑体" w:hAnsi="黑体" w:eastAsia="黑体"/>
          <w:color w:val="000000"/>
          <w:szCs w:val="32"/>
          <w:u w:val="none"/>
        </w:rPr>
        <w:t>三、其他事项</w:t>
      </w:r>
    </w:p>
    <w:p>
      <w:pPr>
        <w:keepNext w:val="0"/>
        <w:keepLines w:val="0"/>
        <w:pageBreakBefore w:val="0"/>
        <w:widowControl w:val="0"/>
        <w:kinsoku/>
        <w:wordWrap/>
        <w:overflowPunct/>
        <w:topLinePunct w:val="0"/>
        <w:autoSpaceDE/>
        <w:autoSpaceDN/>
        <w:bidi w:val="0"/>
        <w:adjustRightInd/>
        <w:snapToGrid w:val="0"/>
        <w:spacing w:line="560" w:lineRule="exact"/>
        <w:ind w:firstLine="645"/>
        <w:textAlignment w:val="auto"/>
        <w:rPr>
          <w:rFonts w:ascii="仿宋_GB2312"/>
          <w:color w:val="000000"/>
          <w:szCs w:val="32"/>
          <w:u w:val="none"/>
        </w:rPr>
      </w:pPr>
      <w:r>
        <w:rPr>
          <w:rFonts w:hint="eastAsia" w:ascii="仿宋_GB2312"/>
          <w:color w:val="000000"/>
          <w:szCs w:val="32"/>
          <w:u w:val="none"/>
        </w:rPr>
        <w:t>（一）本奖励办法兑现由区招商办负责，原则上每年兑现一次，次年一季度集中申报，在入驻企业所得税汇缴清算结束后兑现。</w:t>
      </w:r>
    </w:p>
    <w:p>
      <w:pPr>
        <w:keepNext w:val="0"/>
        <w:keepLines w:val="0"/>
        <w:pageBreakBefore w:val="0"/>
        <w:widowControl w:val="0"/>
        <w:kinsoku/>
        <w:wordWrap/>
        <w:overflowPunct/>
        <w:topLinePunct w:val="0"/>
        <w:autoSpaceDE/>
        <w:autoSpaceDN/>
        <w:bidi w:val="0"/>
        <w:adjustRightInd/>
        <w:snapToGrid w:val="0"/>
        <w:spacing w:line="560" w:lineRule="exact"/>
        <w:ind w:firstLine="645"/>
        <w:textAlignment w:val="auto"/>
        <w:rPr>
          <w:rFonts w:ascii="仿宋_GB2312"/>
          <w:color w:val="000000"/>
          <w:szCs w:val="32"/>
          <w:u w:val="none"/>
        </w:rPr>
      </w:pPr>
      <w:r>
        <w:rPr>
          <w:rFonts w:hint="eastAsia" w:ascii="仿宋_GB2312"/>
          <w:color w:val="000000"/>
          <w:szCs w:val="32"/>
          <w:u w:val="none"/>
        </w:rPr>
        <w:t>（二）符合本奖励办法条件的龙头企业和招商引资中介，由属地乡镇（街道）负责提交申报材料，兑现流程参照产业扶持政策（长政综〔</w:t>
      </w:r>
      <w:r>
        <w:rPr>
          <w:rFonts w:ascii="仿宋_GB2312"/>
          <w:color w:val="000000"/>
          <w:szCs w:val="32"/>
          <w:u w:val="none"/>
        </w:rPr>
        <w:t>2021</w:t>
      </w:r>
      <w:r>
        <w:rPr>
          <w:rFonts w:hint="eastAsia" w:ascii="仿宋_GB2312"/>
          <w:color w:val="000000"/>
          <w:szCs w:val="32"/>
          <w:u w:val="none"/>
        </w:rPr>
        <w:t>〕</w:t>
      </w:r>
      <w:r>
        <w:rPr>
          <w:rFonts w:ascii="仿宋_GB2312"/>
          <w:color w:val="000000"/>
          <w:szCs w:val="32"/>
          <w:u w:val="none"/>
        </w:rPr>
        <w:t>283</w:t>
      </w:r>
      <w:r>
        <w:rPr>
          <w:rFonts w:hint="eastAsia" w:ascii="仿宋_GB2312"/>
          <w:color w:val="000000"/>
          <w:szCs w:val="32"/>
          <w:u w:val="none"/>
        </w:rPr>
        <w:t>号）。</w:t>
      </w:r>
    </w:p>
    <w:p>
      <w:pPr>
        <w:keepNext w:val="0"/>
        <w:keepLines w:val="0"/>
        <w:pageBreakBefore w:val="0"/>
        <w:widowControl w:val="0"/>
        <w:kinsoku/>
        <w:wordWrap/>
        <w:overflowPunct/>
        <w:topLinePunct w:val="0"/>
        <w:autoSpaceDE/>
        <w:autoSpaceDN/>
        <w:bidi w:val="0"/>
        <w:adjustRightInd/>
        <w:snapToGrid w:val="0"/>
        <w:spacing w:line="560" w:lineRule="exact"/>
        <w:ind w:firstLine="645"/>
        <w:textAlignment w:val="auto"/>
        <w:rPr>
          <w:rFonts w:ascii="仿宋_GB2312"/>
          <w:color w:val="000000"/>
          <w:szCs w:val="32"/>
          <w:u w:val="none"/>
        </w:rPr>
      </w:pPr>
      <w:r>
        <w:rPr>
          <w:rFonts w:hint="eastAsia" w:ascii="仿宋_GB2312"/>
          <w:color w:val="000000"/>
          <w:szCs w:val="32"/>
          <w:u w:val="none"/>
        </w:rPr>
        <w:t>（三）本办法</w:t>
      </w:r>
      <w:r>
        <w:rPr>
          <w:rFonts w:hint="eastAsia" w:ascii="仿宋_GB2312" w:hAnsi="仿宋" w:cs="仿宋"/>
          <w:szCs w:val="32"/>
          <w:u w:val="none"/>
        </w:rPr>
        <w:t>有效期自</w:t>
      </w:r>
      <w:r>
        <w:rPr>
          <w:rFonts w:ascii="仿宋_GB2312" w:hAnsi="仿宋" w:cs="仿宋"/>
          <w:szCs w:val="32"/>
          <w:u w:val="none"/>
        </w:rPr>
        <w:t>2022</w:t>
      </w:r>
      <w:r>
        <w:rPr>
          <w:rFonts w:hint="eastAsia" w:ascii="仿宋_GB2312" w:hAnsi="仿宋" w:cs="仿宋"/>
          <w:szCs w:val="32"/>
          <w:u w:val="none"/>
        </w:rPr>
        <w:t>年</w:t>
      </w:r>
      <w:r>
        <w:rPr>
          <w:rFonts w:hint="eastAsia" w:ascii="仿宋_GB2312" w:hAnsi="仿宋" w:cs="仿宋"/>
          <w:szCs w:val="32"/>
          <w:u w:val="none"/>
          <w:lang w:val="en-US" w:eastAsia="zh-CN"/>
        </w:rPr>
        <w:t>9</w:t>
      </w:r>
      <w:r>
        <w:rPr>
          <w:rFonts w:hint="eastAsia" w:ascii="仿宋_GB2312" w:hAnsi="仿宋" w:cs="仿宋"/>
          <w:szCs w:val="32"/>
          <w:u w:val="none"/>
        </w:rPr>
        <w:t>月</w:t>
      </w:r>
      <w:r>
        <w:rPr>
          <w:rFonts w:ascii="仿宋_GB2312" w:hAnsi="仿宋" w:cs="仿宋"/>
          <w:szCs w:val="32"/>
          <w:u w:val="none"/>
        </w:rPr>
        <w:t>1</w:t>
      </w:r>
      <w:r>
        <w:rPr>
          <w:rFonts w:hint="eastAsia" w:ascii="仿宋_GB2312" w:hAnsi="仿宋" w:cs="仿宋"/>
          <w:szCs w:val="32"/>
          <w:u w:val="none"/>
        </w:rPr>
        <w:t>日至</w:t>
      </w:r>
      <w:r>
        <w:rPr>
          <w:rFonts w:ascii="仿宋_GB2312" w:hAnsi="仿宋" w:cs="仿宋"/>
          <w:szCs w:val="32"/>
          <w:u w:val="none"/>
        </w:rPr>
        <w:t>2027</w:t>
      </w:r>
      <w:r>
        <w:rPr>
          <w:rFonts w:hint="eastAsia" w:ascii="仿宋_GB2312" w:hAnsi="仿宋" w:cs="仿宋"/>
          <w:szCs w:val="32"/>
          <w:u w:val="none"/>
        </w:rPr>
        <w:t>年</w:t>
      </w:r>
      <w:r>
        <w:rPr>
          <w:rFonts w:hint="eastAsia" w:ascii="仿宋_GB2312" w:hAnsi="仿宋" w:cs="仿宋"/>
          <w:szCs w:val="32"/>
          <w:u w:val="none"/>
          <w:lang w:val="en-US" w:eastAsia="zh-CN"/>
        </w:rPr>
        <w:t>9</w:t>
      </w:r>
      <w:r>
        <w:rPr>
          <w:rFonts w:hint="eastAsia" w:ascii="仿宋_GB2312" w:hAnsi="仿宋" w:cs="仿宋"/>
          <w:szCs w:val="32"/>
          <w:u w:val="none"/>
        </w:rPr>
        <w:t>月</w:t>
      </w:r>
      <w:r>
        <w:rPr>
          <w:rFonts w:ascii="仿宋_GB2312" w:hAnsi="仿宋" w:cs="仿宋"/>
          <w:szCs w:val="32"/>
          <w:u w:val="none"/>
        </w:rPr>
        <w:t>1</w:t>
      </w:r>
      <w:r>
        <w:rPr>
          <w:rFonts w:hint="eastAsia" w:ascii="仿宋_GB2312" w:hAnsi="仿宋" w:cs="仿宋"/>
          <w:szCs w:val="32"/>
          <w:u w:val="none"/>
        </w:rPr>
        <w:t>日</w:t>
      </w:r>
      <w:r>
        <w:rPr>
          <w:rFonts w:hint="eastAsia" w:ascii="仿宋_GB2312"/>
          <w:color w:val="000000"/>
          <w:szCs w:val="32"/>
          <w:u w:val="none"/>
        </w:rPr>
        <w:t>，执行期间若遇上级政策变化则另行调整。本办法由区招商办负责解释。</w:t>
      </w:r>
    </w:p>
    <w:p>
      <w:pPr>
        <w:spacing w:line="560" w:lineRule="exact"/>
        <w:rPr>
          <w:u w:val="none"/>
        </w:rPr>
      </w:pPr>
    </w:p>
    <w:sectPr>
      <w:footerReference r:id="rId5" w:type="first"/>
      <w:headerReference r:id="rId3" w:type="default"/>
      <w:footerReference r:id="rId4" w:type="default"/>
      <w:pgSz w:w="11906" w:h="16838"/>
      <w:pgMar w:top="2098" w:right="1474" w:bottom="1701" w:left="1587" w:header="851" w:footer="1134" w:gutter="0"/>
      <w:pgNumType w:fmt="numberInDash"/>
      <w:cols w:space="720" w:num="1"/>
      <w:titlePg/>
      <w:docGrid w:type="linesAndChars" w:linePitch="439" w:charSpace="1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- 3 -</w:t>
                          </w:r>
                          <w:r>
                            <w:rPr>
                              <w:rFonts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3"/>
                    </w:pP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- 3 -</w:t>
                    </w:r>
                    <w:r>
                      <w:rPr>
                        <w:rFonts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- 1 -</w:t>
                          </w:r>
                          <w:r>
                            <w:rPr>
                              <w:rFonts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3"/>
                    </w:pP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- 1 -</w:t>
                    </w:r>
                    <w:r>
                      <w:rPr>
                        <w:rFonts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wYWJhNzJlMmMzYzEyZjYxNDQwYzI5ZDA3ZjhhMDcifQ=="/>
  </w:docVars>
  <w:rsids>
    <w:rsidRoot w:val="24490939"/>
    <w:rsid w:val="00255AF9"/>
    <w:rsid w:val="00573754"/>
    <w:rsid w:val="006256AD"/>
    <w:rsid w:val="007C3683"/>
    <w:rsid w:val="00AF1D05"/>
    <w:rsid w:val="00FA3079"/>
    <w:rsid w:val="0EA85264"/>
    <w:rsid w:val="1D354099"/>
    <w:rsid w:val="24490939"/>
    <w:rsid w:val="2B0D4E77"/>
    <w:rsid w:val="30A47BD3"/>
    <w:rsid w:val="35932F51"/>
    <w:rsid w:val="4BE40FA1"/>
    <w:rsid w:val="536A40E0"/>
    <w:rsid w:val="59AB1F6D"/>
    <w:rsid w:val="5CF3524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Acetate"/>
    <w:basedOn w:val="1"/>
    <w:qFormat/>
    <w:uiPriority w:val="99"/>
    <w:rPr>
      <w:sz w:val="18"/>
      <w:szCs w:val="18"/>
    </w:rPr>
  </w:style>
  <w:style w:type="paragraph" w:styleId="3">
    <w:name w:val="footer"/>
    <w:basedOn w:val="1"/>
    <w:link w:val="7"/>
    <w:qFormat/>
    <w:uiPriority w:val="99"/>
    <w:pPr>
      <w:tabs>
        <w:tab w:val="center" w:pos="4153"/>
        <w:tab w:val="right" w:pos="8306"/>
      </w:tabs>
      <w:snapToGrid w:val="0"/>
      <w:jc w:val="left"/>
    </w:pPr>
    <w:rPr>
      <w:rFonts w:eastAsia="宋体"/>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rFonts w:eastAsia="宋体"/>
      <w:sz w:val="18"/>
      <w:szCs w:val="18"/>
    </w:rPr>
  </w:style>
  <w:style w:type="character" w:customStyle="1" w:styleId="7">
    <w:name w:val="Footer Char"/>
    <w:basedOn w:val="6"/>
    <w:link w:val="3"/>
    <w:semiHidden/>
    <w:qFormat/>
    <w:uiPriority w:val="99"/>
    <w:rPr>
      <w:rFonts w:eastAsia="仿宋_GB2312"/>
      <w:sz w:val="18"/>
      <w:szCs w:val="18"/>
    </w:rPr>
  </w:style>
  <w:style w:type="character" w:customStyle="1" w:styleId="8">
    <w:name w:val="Header Char"/>
    <w:basedOn w:val="6"/>
    <w:link w:val="4"/>
    <w:semiHidden/>
    <w:qFormat/>
    <w:uiPriority w:val="99"/>
    <w:rPr>
      <w:rFonts w:eastAsia="仿宋_GB231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1513</Words>
  <Characters>1562</Characters>
  <Lines>0</Lines>
  <Paragraphs>0</Paragraphs>
  <TotalTime>18</TotalTime>
  <ScaleCrop>false</ScaleCrop>
  <LinksUpToDate>false</LinksUpToDate>
  <CharactersWithSpaces>1639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2022-09-17T15:00:00Z</dcterms:created>
  <dc:creator>zhuozhenying</dc:creator>
  <cp:lastModifiedBy>Rui</cp:lastModifiedBy>
  <cp:lastPrinted>2022-10-08T08:49:42Z</cp:lastPrinted>
  <dcterms:modified xsi:type="dcterms:W3CDTF">2022-10-08T08:49:53Z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08C43BB386E1485BA1840C721AA18B59</vt:lpwstr>
  </property>
</Properties>
</file>