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val="0"/>
        <w:bidi w:val="0"/>
        <w:spacing w:line="600" w:lineRule="exact"/>
        <w:ind w:firstLine="0" w:firstLineChars="0"/>
        <w:jc w:val="center"/>
        <w:textAlignment w:val="auto"/>
        <w:outlineLvl w:val="9"/>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eastAsia="zh-CN"/>
        </w:rPr>
        <w:t>福州市市场主体住所、经营场所禁设区域目录</w:t>
      </w:r>
    </w:p>
    <w:tbl>
      <w:tblPr>
        <w:tblStyle w:val="5"/>
        <w:tblW w:w="9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9"/>
        <w:gridCol w:w="951"/>
        <w:gridCol w:w="2513"/>
        <w:gridCol w:w="2521"/>
        <w:gridCol w:w="2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288" w:type="dxa"/>
            <w:gridSpan w:val="5"/>
            <w:tcBorders>
              <w:top w:val="nil"/>
              <w:left w:val="nil"/>
              <w:bottom w:val="single" w:color="auto" w:sz="4" w:space="0"/>
              <w:right w:val="nil"/>
            </w:tcBorders>
            <w:vAlign w:val="center"/>
          </w:tcPr>
          <w:p>
            <w:pPr>
              <w:pStyle w:val="2"/>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7"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黑体" w:hAnsi="黑体" w:eastAsia="黑体" w:cs="黑体"/>
                <w:b w:val="0"/>
                <w:bCs w:val="0"/>
                <w:i w:val="0"/>
                <w:iCs w:val="0"/>
                <w:color w:val="auto"/>
                <w:spacing w:val="-6"/>
                <w:kern w:val="2"/>
                <w:sz w:val="28"/>
                <w:szCs w:val="28"/>
                <w:u w:val="none"/>
                <w:lang w:val="en-US" w:eastAsia="zh-CN" w:bidi="ar-SA"/>
              </w:rPr>
            </w:pPr>
            <w:r>
              <w:rPr>
                <w:rFonts w:hint="eastAsia" w:ascii="黑体" w:hAnsi="黑体" w:eastAsia="黑体" w:cs="黑体"/>
                <w:b w:val="0"/>
                <w:bCs w:val="0"/>
                <w:i w:val="0"/>
                <w:iCs w:val="0"/>
                <w:color w:val="auto"/>
                <w:kern w:val="0"/>
                <w:sz w:val="28"/>
                <w:szCs w:val="28"/>
                <w:u w:val="none"/>
                <w:lang w:val="en-US" w:eastAsia="zh-CN" w:bidi="ar"/>
              </w:rPr>
              <w:t>序号</w:t>
            </w:r>
          </w:p>
        </w:tc>
        <w:tc>
          <w:tcPr>
            <w:tcW w:w="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经营</w:t>
            </w:r>
          </w:p>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黑体" w:hAnsi="黑体" w:eastAsia="黑体" w:cs="黑体"/>
                <w:b w:val="0"/>
                <w:bCs w:val="0"/>
                <w:i w:val="0"/>
                <w:iCs w:val="0"/>
                <w:color w:val="auto"/>
                <w:spacing w:val="-6"/>
                <w:kern w:val="2"/>
                <w:sz w:val="28"/>
                <w:szCs w:val="28"/>
                <w:u w:val="none"/>
                <w:lang w:val="en-US" w:eastAsia="zh-CN" w:bidi="ar-SA"/>
              </w:rPr>
            </w:pPr>
            <w:r>
              <w:rPr>
                <w:rFonts w:hint="eastAsia" w:ascii="黑体" w:hAnsi="黑体" w:eastAsia="黑体" w:cs="黑体"/>
                <w:b w:val="0"/>
                <w:bCs w:val="0"/>
                <w:i w:val="0"/>
                <w:iCs w:val="0"/>
                <w:color w:val="auto"/>
                <w:kern w:val="0"/>
                <w:sz w:val="28"/>
                <w:szCs w:val="28"/>
                <w:u w:val="none"/>
                <w:lang w:val="en-US" w:eastAsia="zh-CN" w:bidi="ar"/>
              </w:rPr>
              <w:t>项目</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黑体" w:hAnsi="黑体" w:eastAsia="黑体" w:cs="黑体"/>
                <w:b w:val="0"/>
                <w:bCs w:val="0"/>
                <w:i w:val="0"/>
                <w:iCs w:val="0"/>
                <w:color w:val="auto"/>
                <w:spacing w:val="-6"/>
                <w:kern w:val="2"/>
                <w:sz w:val="28"/>
                <w:szCs w:val="28"/>
                <w:u w:val="none"/>
                <w:lang w:val="en-US" w:eastAsia="zh-CN" w:bidi="ar-SA"/>
              </w:rPr>
            </w:pPr>
            <w:r>
              <w:rPr>
                <w:rFonts w:hint="eastAsia" w:ascii="黑体" w:hAnsi="黑体" w:eastAsia="黑体" w:cs="黑体"/>
                <w:b w:val="0"/>
                <w:bCs w:val="0"/>
                <w:i w:val="0"/>
                <w:iCs w:val="0"/>
                <w:color w:val="auto"/>
                <w:kern w:val="0"/>
                <w:sz w:val="28"/>
                <w:szCs w:val="28"/>
                <w:u w:val="none"/>
                <w:lang w:val="en-US" w:eastAsia="zh-CN" w:bidi="ar"/>
              </w:rPr>
              <w:t>禁设区域</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黑体" w:hAnsi="黑体" w:eastAsia="黑体" w:cs="黑体"/>
                <w:b w:val="0"/>
                <w:bCs w:val="0"/>
                <w:i w:val="0"/>
                <w:iCs w:val="0"/>
                <w:color w:val="auto"/>
                <w:spacing w:val="-6"/>
                <w:kern w:val="2"/>
                <w:sz w:val="28"/>
                <w:szCs w:val="28"/>
                <w:u w:val="none"/>
                <w:lang w:val="en-US" w:eastAsia="zh-CN" w:bidi="ar-SA"/>
              </w:rPr>
            </w:pPr>
            <w:r>
              <w:rPr>
                <w:rFonts w:hint="eastAsia" w:ascii="黑体" w:hAnsi="黑体" w:eastAsia="黑体" w:cs="黑体"/>
                <w:b w:val="0"/>
                <w:bCs w:val="0"/>
                <w:i w:val="0"/>
                <w:iCs w:val="0"/>
                <w:color w:val="auto"/>
                <w:kern w:val="0"/>
                <w:sz w:val="28"/>
                <w:szCs w:val="28"/>
                <w:u w:val="none"/>
                <w:lang w:val="en-US" w:eastAsia="zh-CN" w:bidi="ar"/>
              </w:rPr>
              <w:t>禁设依据</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黑体" w:hAnsi="黑体" w:eastAsia="黑体" w:cs="黑体"/>
                <w:b w:val="0"/>
                <w:bCs w:val="0"/>
                <w:i w:val="0"/>
                <w:iCs w:val="0"/>
                <w:color w:val="auto"/>
                <w:spacing w:val="-6"/>
                <w:kern w:val="2"/>
                <w:sz w:val="28"/>
                <w:szCs w:val="28"/>
                <w:u w:val="none"/>
                <w:lang w:val="en-US" w:eastAsia="zh-CN" w:bidi="ar-SA"/>
              </w:rPr>
            </w:pPr>
            <w:r>
              <w:rPr>
                <w:rFonts w:hint="eastAsia" w:ascii="黑体" w:hAnsi="黑体" w:eastAsia="黑体" w:cs="黑体"/>
                <w:b w:val="0"/>
                <w:bCs w:val="0"/>
                <w:i w:val="0"/>
                <w:iCs w:val="0"/>
                <w:color w:val="auto"/>
                <w:kern w:val="0"/>
                <w:sz w:val="28"/>
                <w:szCs w:val="28"/>
                <w:u w:val="none"/>
                <w:lang w:val="en-US" w:eastAsia="zh-CN" w:bidi="ar"/>
              </w:rPr>
              <w:t>许可、监管部门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trPr>
        <w:tc>
          <w:tcPr>
            <w:tcW w:w="928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仿宋_GB2312" w:hAnsi="仿宋_GB2312" w:eastAsia="仿宋_GB2312" w:cs="仿宋_GB2312"/>
                <w:b/>
                <w:bCs/>
                <w:i w:val="0"/>
                <w:iCs w:val="0"/>
                <w:color w:val="auto"/>
                <w:sz w:val="28"/>
                <w:szCs w:val="28"/>
                <w:u w:val="none"/>
              </w:rPr>
            </w:pPr>
            <w:r>
              <w:rPr>
                <w:rFonts w:hint="eastAsia" w:ascii="楷体_GB2312" w:hAnsi="楷体_GB2312" w:eastAsia="楷体_GB2312" w:cs="楷体_GB2312"/>
                <w:b w:val="0"/>
                <w:bCs w:val="0"/>
                <w:i w:val="0"/>
                <w:iCs w:val="0"/>
                <w:color w:val="auto"/>
                <w:kern w:val="0"/>
                <w:sz w:val="28"/>
                <w:szCs w:val="28"/>
                <w:u w:val="none"/>
                <w:lang w:val="en-US" w:eastAsia="zh-CN" w:bidi="ar"/>
              </w:rPr>
              <w:t>一、全行业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0" w:hRule="atLeast"/>
        </w:trPr>
        <w:tc>
          <w:tcPr>
            <w:tcW w:w="50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1</w:t>
            </w:r>
          </w:p>
        </w:tc>
        <w:tc>
          <w:tcPr>
            <w:tcW w:w="95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全行业</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违法建筑</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《福建省违法建设处置若干规定》第二十四条第四款</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城市管理执法部门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城乡建设部门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住房保障和房产管理部门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0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i w:val="0"/>
                <w:iCs w:val="0"/>
                <w:color w:val="auto"/>
                <w:sz w:val="28"/>
                <w:szCs w:val="28"/>
                <w:u w:val="none"/>
              </w:rPr>
            </w:pPr>
          </w:p>
        </w:tc>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依法征收范围内的房屋</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《国有土地上房屋征收与补偿条例》第十六条、《中华人民共和国土地管理法实施条例》第二十六条</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住房保障和房产管理部门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城乡建设部门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自然资源和规划部门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32" w:hRule="atLeast"/>
        </w:trPr>
        <w:tc>
          <w:tcPr>
            <w:tcW w:w="50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i w:val="0"/>
                <w:iCs w:val="0"/>
                <w:color w:val="auto"/>
                <w:sz w:val="28"/>
                <w:szCs w:val="28"/>
                <w:u w:val="none"/>
              </w:rPr>
            </w:pPr>
          </w:p>
        </w:tc>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抗震性鉴定不合格的房屋</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《危险房屋鉴定标准》第6点、《福州市房屋结构安全管理办法》第三十一条</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住房保障和房产管理部门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城乡建设部门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0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i w:val="0"/>
                <w:iCs w:val="0"/>
                <w:color w:val="auto"/>
                <w:sz w:val="28"/>
                <w:szCs w:val="28"/>
                <w:u w:val="none"/>
              </w:rPr>
            </w:pPr>
          </w:p>
        </w:tc>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可靠性鉴定为III、IV级的房屋</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《危险房屋鉴定标准》第6点、《福州市房屋结构安全管理办法》第三十一条</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住房保障和房产</w:t>
            </w:r>
            <w:r>
              <w:rPr>
                <w:rFonts w:hint="eastAsia" w:ascii="仿宋_GB2312" w:hAnsi="仿宋_GB2312" w:cs="仿宋_GB2312"/>
                <w:bCs/>
                <w:color w:val="auto"/>
                <w:sz w:val="28"/>
                <w:szCs w:val="28"/>
                <w:u w:val="none"/>
                <w:lang w:val="en-US" w:eastAsia="zh-CN"/>
              </w:rPr>
              <w:t>管理</w:t>
            </w:r>
            <w:r>
              <w:rPr>
                <w:rFonts w:hint="eastAsia" w:ascii="仿宋_GB2312" w:hAnsi="仿宋_GB2312" w:eastAsia="仿宋_GB2312" w:cs="仿宋_GB2312"/>
                <w:bCs/>
                <w:color w:val="auto"/>
                <w:sz w:val="28"/>
                <w:szCs w:val="28"/>
                <w:u w:val="none"/>
                <w:lang w:val="en-US" w:eastAsia="zh-CN"/>
              </w:rPr>
              <w:t>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城乡建设部门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20" w:hRule="atLeast"/>
        </w:trPr>
        <w:tc>
          <w:tcPr>
            <w:tcW w:w="50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i w:val="0"/>
                <w:iCs w:val="0"/>
                <w:color w:val="auto"/>
                <w:sz w:val="28"/>
                <w:szCs w:val="28"/>
                <w:u w:val="none"/>
              </w:rPr>
            </w:pPr>
          </w:p>
        </w:tc>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left"/>
              <w:rPr>
                <w:rFonts w:hint="eastAsia" w:ascii="仿宋_GB2312" w:hAnsi="仿宋_GB2312" w:eastAsia="仿宋_GB2312" w:cs="仿宋_GB2312"/>
                <w:i w:val="0"/>
                <w:iCs w:val="0"/>
                <w:color w:val="auto"/>
                <w:sz w:val="28"/>
                <w:szCs w:val="28"/>
                <w:u w:val="none"/>
              </w:rPr>
            </w:pP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安全性鉴定C、D级房屋</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《危险房屋鉴定标准》第6点、《福州市房屋结构安全管理办法》第三十一条</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住房保障和房产管理部门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城乡建设部门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928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bCs/>
                <w:i w:val="0"/>
                <w:iCs w:val="0"/>
                <w:color w:val="auto"/>
                <w:sz w:val="28"/>
                <w:szCs w:val="28"/>
                <w:u w:val="none"/>
              </w:rPr>
            </w:pPr>
            <w:r>
              <w:rPr>
                <w:rFonts w:hint="eastAsia" w:ascii="楷体_GB2312" w:hAnsi="楷体_GB2312" w:eastAsia="楷体_GB2312" w:cs="楷体_GB2312"/>
                <w:b w:val="0"/>
                <w:bCs w:val="0"/>
                <w:i w:val="0"/>
                <w:iCs w:val="0"/>
                <w:color w:val="auto"/>
                <w:kern w:val="0"/>
                <w:sz w:val="28"/>
                <w:szCs w:val="28"/>
                <w:u w:val="none"/>
                <w:lang w:val="en-US" w:eastAsia="zh-CN" w:bidi="ar"/>
              </w:rPr>
              <w:t>二、前置许可项目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55"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2</w:t>
            </w:r>
          </w:p>
        </w:tc>
        <w:tc>
          <w:tcPr>
            <w:tcW w:w="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危险化学品生产、</w:t>
            </w:r>
          </w:p>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储存</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不得设立在不符合城乡规划的区域。</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《危险化学品安全管理条例》第十一条、《中华人民共和国安全生产法》第四十二条</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应急管理部门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3</w:t>
            </w:r>
          </w:p>
        </w:tc>
        <w:tc>
          <w:tcPr>
            <w:tcW w:w="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危险化学品经营</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生产、储存、经营易燃易爆危险品的场所不得与居住场所设置在同一建筑物内，并应当与居住场所保持安全距离；</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生产、储存、经营其他物品的场所与居住场所设置在同一建筑物内的，应当符合国家工程建设消防技术标准。</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《中华人民共和国消防法》第十九条</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应急管理部门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公安部门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30"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4</w:t>
            </w:r>
          </w:p>
        </w:tc>
        <w:tc>
          <w:tcPr>
            <w:tcW w:w="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文化艺术类校外培训机构</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艺术培训机构应提供与培训类别和规模相适应的场所（含办公用房、教学培训用房和其他必备场地），场所的设置应符合《建筑设计防火规范》（GB50016）要求，不得选用居民住宅、地下室、半地下室、临时搭建的房屋、工业厂房、仓储建筑及其他存在安全隐患的场所。</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《福建省文化艺术类校外培训机构准入指导意见（试行）》第三条第（三）项</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城乡建设部门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应急管理部门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县（市）区文化和旅游行政管理部门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5</w:t>
            </w:r>
          </w:p>
        </w:tc>
        <w:tc>
          <w:tcPr>
            <w:tcW w:w="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民办普通高中</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鼓楼、台江、仓山、晋安四城区的工业厂房、物流仓储用地原则上不再改变功能用于举办普通高中。</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《福州市人民政府办公厅关于福州市民办普通高中学校申办的指导意见（试行）》（榕政办〔2022〕95号）第三条第（一）项</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教育部门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928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bCs/>
                <w:i w:val="0"/>
                <w:iCs w:val="0"/>
                <w:color w:val="auto"/>
                <w:sz w:val="28"/>
                <w:szCs w:val="28"/>
                <w:u w:val="none"/>
              </w:rPr>
            </w:pPr>
            <w:r>
              <w:rPr>
                <w:rFonts w:hint="eastAsia" w:ascii="楷体_GB2312" w:hAnsi="楷体_GB2312" w:eastAsia="楷体_GB2312" w:cs="楷体_GB2312"/>
                <w:b w:val="0"/>
                <w:bCs w:val="0"/>
                <w:i w:val="0"/>
                <w:iCs w:val="0"/>
                <w:color w:val="auto"/>
                <w:kern w:val="0"/>
                <w:sz w:val="28"/>
                <w:szCs w:val="28"/>
                <w:u w:val="none"/>
                <w:lang w:val="en-US" w:eastAsia="zh-CN" w:bidi="ar"/>
              </w:rPr>
              <w:t>三、后置许可项目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6</w:t>
            </w:r>
          </w:p>
        </w:tc>
        <w:tc>
          <w:tcPr>
            <w:tcW w:w="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烟花爆竹批发、零售</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禁止在城市市区布设烟花爆竹批发场所；城市市区的烟花爆竹零售网点，应当按照严格控制的原则合理布设；</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烟花爆竹批发企业不得在城市建成区内设立烟花爆竹储存仓库，不得在批发（展示）场所摆放有药样品；严格控制城市建成区内烟花爆竹零售点数量，且烟花爆竹零售点不得与居民居住场所设置在同一建筑物内。</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 xml:space="preserve">《烟花爆竹安全管理条例》第十六条  </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、《烟花爆竹经营许可实施办法》第四条</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应急管理部门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3" w:hRule="atLeast"/>
        </w:trPr>
        <w:tc>
          <w:tcPr>
            <w:tcW w:w="50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7</w:t>
            </w:r>
          </w:p>
        </w:tc>
        <w:tc>
          <w:tcPr>
            <w:tcW w:w="95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娱乐业（含歌舞娱乐场所、游艺娱乐场所）</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娱乐场所不得设在下列地点：</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（一）居民楼、博物馆、图书馆和被核定为文物保护单位的建筑物内；</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（二）居民住宅区和学校、医院、机关周围；</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（三）车站、机场等人群密集的场所；</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（四）建筑物地下一层以下；</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（五）与危险化学品仓库毗连的区域。</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《娱乐场所管理条例》第七条</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文化和旅游部门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公安部门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7" w:hRule="atLeast"/>
        </w:trPr>
        <w:tc>
          <w:tcPr>
            <w:tcW w:w="50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i w:val="0"/>
                <w:iCs w:val="0"/>
                <w:color w:val="auto"/>
                <w:sz w:val="28"/>
                <w:szCs w:val="28"/>
                <w:u w:val="none"/>
              </w:rPr>
            </w:pPr>
          </w:p>
        </w:tc>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i w:val="0"/>
                <w:iCs w:val="0"/>
                <w:color w:val="auto"/>
                <w:sz w:val="28"/>
                <w:szCs w:val="28"/>
                <w:u w:val="none"/>
              </w:rPr>
            </w:pP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学校、幼儿园周边不得设置营业性娱乐场所。</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《中华人民共和国未成年人保护法》第五十八条相关规定</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文化和旅游部门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公安部门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市场监管部门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50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8</w:t>
            </w:r>
          </w:p>
        </w:tc>
        <w:tc>
          <w:tcPr>
            <w:tcW w:w="95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餐饮业</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禁止在居民住宅楼、未配套设立专用烟道的商住综合楼以及商住综合楼内与居住层相邻的商业楼层内新建、改建、扩建产生油烟、异味、废气的餐饮服务项目。</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《中华人民共和国大气污染防治法》第八十一条第二款、《福州市大气污染防治办法》第三十条</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生态环境部门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城市管理执法部门                  自然资源</w:t>
            </w:r>
            <w:r>
              <w:rPr>
                <w:rFonts w:hint="eastAsia" w:ascii="仿宋_GB2312" w:hAnsi="仿宋_GB2312" w:cs="仿宋_GB2312"/>
                <w:bCs/>
                <w:color w:val="auto"/>
                <w:sz w:val="28"/>
                <w:szCs w:val="28"/>
                <w:u w:val="none"/>
                <w:lang w:val="en-US" w:eastAsia="zh-CN"/>
              </w:rPr>
              <w:t>和</w:t>
            </w:r>
            <w:r>
              <w:rPr>
                <w:rFonts w:hint="eastAsia" w:ascii="仿宋_GB2312" w:hAnsi="仿宋_GB2312" w:eastAsia="仿宋_GB2312" w:cs="仿宋_GB2312"/>
                <w:bCs/>
                <w:color w:val="auto"/>
                <w:sz w:val="28"/>
                <w:szCs w:val="28"/>
                <w:u w:val="none"/>
                <w:lang w:val="en-US" w:eastAsia="zh-CN"/>
              </w:rPr>
              <w:t>规划部门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市场监管部门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25" w:hRule="atLeast"/>
        </w:trPr>
        <w:tc>
          <w:tcPr>
            <w:tcW w:w="50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p>
        </w:tc>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任何单位和个人不得在当地人民政府禁止的区域内露天烧烤食品或者为露天烧烤食品提供场地。</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《中华人民共和国大气污染防治法》第八十一条第三款</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城市管理执法部门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生态环境部门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0" w:hRule="atLeast"/>
        </w:trPr>
        <w:tc>
          <w:tcPr>
            <w:tcW w:w="509"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p>
        </w:tc>
        <w:tc>
          <w:tcPr>
            <w:tcW w:w="95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学校、幼儿园周边不得设置酒吧。</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《中华人民共和国未成年人保护法》第五十八条相关规定</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文化和旅游部门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公安部门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市场监管部门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64"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9</w:t>
            </w:r>
          </w:p>
        </w:tc>
        <w:tc>
          <w:tcPr>
            <w:tcW w:w="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烟草制品零售点</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中、小学校周围不予发放烟草专卖零售许可证。</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《烟草专卖许可证管理办法》第二十五条第（二）项</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烟草专卖管理部门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3"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10</w:t>
            </w:r>
          </w:p>
        </w:tc>
        <w:tc>
          <w:tcPr>
            <w:tcW w:w="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烟、酒销售</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学校、幼儿园周边不得设置烟、酒、彩票销售网点。</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《中华人民共和国未成年人保护法》第五十九条</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烟草专卖管理部门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市场监管部门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公安部门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47" w:hRule="atLeast"/>
        </w:trPr>
        <w:tc>
          <w:tcPr>
            <w:tcW w:w="50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11</w:t>
            </w:r>
          </w:p>
        </w:tc>
        <w:tc>
          <w:tcPr>
            <w:tcW w:w="95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网吧、游戏室</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学校、幼儿园周边不得设置互联网上网服务营业场所。</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《中华人民共和国未成年人保护法》第五十八条相关规定</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文化和旅游部门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市场监管部门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公安部门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54" w:hRule="atLeast"/>
        </w:trPr>
        <w:tc>
          <w:tcPr>
            <w:tcW w:w="50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Cs/>
                <w:color w:val="auto"/>
                <w:sz w:val="28"/>
                <w:szCs w:val="28"/>
                <w:u w:val="none"/>
                <w:lang w:val="en-US" w:eastAsia="zh-CN"/>
              </w:rPr>
            </w:pPr>
          </w:p>
        </w:tc>
        <w:tc>
          <w:tcPr>
            <w:tcW w:w="95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Cs/>
                <w:color w:val="auto"/>
                <w:sz w:val="28"/>
                <w:szCs w:val="28"/>
                <w:u w:val="none"/>
                <w:lang w:val="en-US" w:eastAsia="zh-CN"/>
              </w:rPr>
            </w:pP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中学、小学校园周围200米范围内和居民住宅楼（院）内不得设立互联网上网服务营业场所。</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《互联网上网服务营业场所管理条例》第九条</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文化和旅游部门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市场监管部门</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公安部门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12</w:t>
            </w:r>
          </w:p>
        </w:tc>
        <w:tc>
          <w:tcPr>
            <w:tcW w:w="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社会力量医院</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鼓楼、台江两区所涉及的二环内区域不再新办社会力量医院。</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《福州市人民政府关于进一步促进社会力量办医的实施意见（试行）》（榕政综〔2019〕116号）第二点第（三）项</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卫健部门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928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
                <w:bCs/>
                <w:i w:val="0"/>
                <w:iCs w:val="0"/>
                <w:color w:val="auto"/>
                <w:sz w:val="28"/>
                <w:szCs w:val="28"/>
                <w:u w:val="none"/>
              </w:rPr>
            </w:pPr>
            <w:r>
              <w:rPr>
                <w:rFonts w:hint="eastAsia" w:ascii="楷体_GB2312" w:hAnsi="楷体_GB2312" w:eastAsia="楷体_GB2312" w:cs="楷体_GB2312"/>
                <w:b w:val="0"/>
                <w:bCs w:val="0"/>
                <w:i w:val="0"/>
                <w:iCs w:val="0"/>
                <w:color w:val="auto"/>
                <w:kern w:val="0"/>
                <w:sz w:val="28"/>
                <w:szCs w:val="28"/>
                <w:u w:val="none"/>
                <w:lang w:val="en-US" w:eastAsia="zh-CN" w:bidi="ar"/>
              </w:rPr>
              <w:t>四、一般经营项目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8"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13</w:t>
            </w:r>
          </w:p>
        </w:tc>
        <w:tc>
          <w:tcPr>
            <w:tcW w:w="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电动自行车销售、充电销售、维修网点</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不得设置在居民住宅楼、商住综合楼内的商业楼层。</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《福州城区电动自行车号牌管理办法》第十八条第一款</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市场监管部门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消防部门</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67"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14</w:t>
            </w:r>
          </w:p>
        </w:tc>
        <w:tc>
          <w:tcPr>
            <w:tcW w:w="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电动自行车经营网点</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原则上不在城区二环路以内布局。</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《福州城区电动自行车号牌管理办法》第十九条</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市场监管部门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公安部门</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3"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15</w:t>
            </w:r>
          </w:p>
        </w:tc>
        <w:tc>
          <w:tcPr>
            <w:tcW w:w="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剧本娱乐经营场所</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不得设在居民楼内、建筑物地下一层以下（不含地下一层）等地。</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《文化和旅游部 公安部 住房和城乡建设部 应急管理部 市场监管总局关于加强剧本娱乐经营场所管理的通知》第二条第五项</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公安部门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城乡建设部门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应急管理部门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市场监管部门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住房保障和房产管理部门</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cs="仿宋_GB2312"/>
                <w:color w:val="auto"/>
                <w:sz w:val="28"/>
                <w:szCs w:val="28"/>
                <w:lang w:val="en-US" w:eastAsia="zh-CN"/>
              </w:rPr>
            </w:pP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县（市）区文化和旅游行政管理部门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8"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16</w:t>
            </w:r>
          </w:p>
        </w:tc>
        <w:tc>
          <w:tcPr>
            <w:tcW w:w="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标准化菜市场</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二环内不再新建农贸市场；</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二环外、三环内以及各县（市）和长乐区的主要街区，不再新建不符合“农+超”标准的农贸市场。</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《福州市城市商业网点规划（2021—2035年）》第23条</w:t>
            </w:r>
            <w:r>
              <w:rPr>
                <w:rFonts w:hint="eastAsia" w:ascii="仿宋_GB2312" w:hAnsi="仿宋_GB2312" w:cs="仿宋_GB2312"/>
                <w:bCs/>
                <w:color w:val="auto"/>
                <w:sz w:val="28"/>
                <w:szCs w:val="28"/>
                <w:u w:val="none"/>
                <w:lang w:val="en-US" w:eastAsia="zh-CN"/>
              </w:rPr>
              <w:t>第1点</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商务部门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cs="仿宋_GB2312"/>
                <w:color w:val="auto"/>
                <w:sz w:val="28"/>
                <w:szCs w:val="28"/>
                <w:lang w:val="en-US" w:eastAsia="zh-CN"/>
              </w:rPr>
            </w:pP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68"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17</w:t>
            </w:r>
          </w:p>
        </w:tc>
        <w:tc>
          <w:tcPr>
            <w:tcW w:w="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汽车销售网点</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二环路以内不得设立线下汽车销售企业；</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三环以内不得设立二手车交易市场。</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《福州市城市商业网点规划（2021—2035年）》第34条</w:t>
            </w:r>
            <w:r>
              <w:rPr>
                <w:rFonts w:hint="eastAsia" w:ascii="仿宋_GB2312" w:hAnsi="仿宋_GB2312" w:cs="仿宋_GB2312"/>
                <w:bCs/>
                <w:color w:val="auto"/>
                <w:sz w:val="28"/>
                <w:szCs w:val="28"/>
                <w:u w:val="none"/>
                <w:lang w:val="en-US" w:eastAsia="zh-CN"/>
              </w:rPr>
              <w:t>第（四）项第1点</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商务部门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cs="仿宋_GB2312"/>
                <w:color w:val="auto"/>
                <w:sz w:val="28"/>
                <w:szCs w:val="28"/>
                <w:lang w:val="en-US" w:eastAsia="zh-CN"/>
              </w:rPr>
            </w:pP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28"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18</w:t>
            </w:r>
          </w:p>
        </w:tc>
        <w:tc>
          <w:tcPr>
            <w:tcW w:w="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报废机动车回收拆解</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三环以内不得设置报废机动车回收拆解点。</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《福州市城市商业网点规划（2021—2035年）》第34条</w:t>
            </w:r>
            <w:r>
              <w:rPr>
                <w:rFonts w:hint="eastAsia" w:ascii="仿宋_GB2312" w:hAnsi="仿宋_GB2312" w:cs="仿宋_GB2312"/>
                <w:bCs/>
                <w:color w:val="auto"/>
                <w:sz w:val="28"/>
                <w:szCs w:val="28"/>
                <w:u w:val="none"/>
                <w:lang w:val="en-US" w:eastAsia="zh-CN"/>
              </w:rPr>
              <w:t>第（四）项第2点</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商务部门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cs="仿宋_GB2312"/>
                <w:color w:val="auto"/>
                <w:sz w:val="28"/>
                <w:szCs w:val="28"/>
                <w:lang w:val="en-US" w:eastAsia="zh-CN"/>
              </w:rPr>
            </w:pP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0" w:hRule="atLeast"/>
        </w:trPr>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19</w:t>
            </w:r>
          </w:p>
        </w:tc>
        <w:tc>
          <w:tcPr>
            <w:tcW w:w="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工业项目用地上非生产性配套设施</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方案管控。严禁在鼓楼、台江、仓山、晋安四城区工业园区内的工业项目用地上建设用途为成套住宅、宾馆酒店、培训中心、专家楼、招待所等非生产性配套设施。</w:t>
            </w:r>
          </w:p>
        </w:tc>
        <w:tc>
          <w:tcPr>
            <w:tcW w:w="25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《福州市人民政府办公厅关于进一步规范工业项目建设审批和监管的实施意见》（榕政办〔2022〕36号）第二条第（一）项</w:t>
            </w:r>
          </w:p>
        </w:tc>
        <w:tc>
          <w:tcPr>
            <w:tcW w:w="27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Cs/>
                <w:color w:val="auto"/>
                <w:sz w:val="28"/>
                <w:szCs w:val="28"/>
                <w:u w:val="none"/>
                <w:lang w:val="en-US" w:eastAsia="zh-CN"/>
              </w:rPr>
            </w:pPr>
            <w:r>
              <w:rPr>
                <w:rFonts w:hint="eastAsia" w:ascii="仿宋_GB2312" w:hAnsi="仿宋_GB2312" w:eastAsia="仿宋_GB2312" w:cs="仿宋_GB2312"/>
                <w:bCs/>
                <w:color w:val="auto"/>
                <w:sz w:val="28"/>
                <w:szCs w:val="28"/>
                <w:u w:val="none"/>
                <w:lang w:val="en-US" w:eastAsia="zh-CN"/>
              </w:rPr>
              <w:t>自然资源</w:t>
            </w:r>
            <w:r>
              <w:rPr>
                <w:rFonts w:hint="eastAsia" w:ascii="仿宋_GB2312" w:hAnsi="仿宋_GB2312" w:cs="仿宋_GB2312"/>
                <w:bCs/>
                <w:color w:val="auto"/>
                <w:sz w:val="28"/>
                <w:szCs w:val="28"/>
                <w:u w:val="none"/>
                <w:lang w:val="en-US" w:eastAsia="zh-CN"/>
              </w:rPr>
              <w:t>和</w:t>
            </w:r>
            <w:r>
              <w:rPr>
                <w:rFonts w:hint="eastAsia" w:ascii="仿宋_GB2312" w:hAnsi="仿宋_GB2312" w:eastAsia="仿宋_GB2312" w:cs="仿宋_GB2312"/>
                <w:bCs/>
                <w:color w:val="auto"/>
                <w:sz w:val="28"/>
                <w:szCs w:val="28"/>
                <w:u w:val="none"/>
                <w:lang w:val="en-US" w:eastAsia="zh-CN"/>
              </w:rPr>
              <w:t>规划部门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工业和信息化部门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城市管理执法部门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发展改革部门</w:t>
            </w:r>
            <w:r>
              <w:rPr>
                <w:rFonts w:hint="eastAsia" w:ascii="仿宋_GB2312" w:hAnsi="仿宋_GB2312" w:eastAsia="仿宋_GB2312" w:cs="仿宋_GB2312"/>
                <w:bCs/>
                <w:color w:val="auto"/>
                <w:sz w:val="28"/>
                <w:szCs w:val="28"/>
                <w:u w:val="none"/>
                <w:lang w:val="en-US" w:eastAsia="zh-CN"/>
              </w:rPr>
              <w:br w:type="textWrapping"/>
            </w:r>
            <w:r>
              <w:rPr>
                <w:rFonts w:hint="eastAsia" w:ascii="仿宋_GB2312" w:hAnsi="仿宋_GB2312" w:eastAsia="仿宋_GB2312" w:cs="仿宋_GB2312"/>
                <w:bCs/>
                <w:color w:val="auto"/>
                <w:sz w:val="28"/>
                <w:szCs w:val="28"/>
                <w:u w:val="none"/>
                <w:lang w:val="en-US" w:eastAsia="zh-CN"/>
              </w:rPr>
              <w:t>县（市）区人民政府</w:t>
            </w:r>
            <w:r>
              <w:rPr>
                <w:rFonts w:hint="eastAsia" w:ascii="仿宋_GB2312" w:hAnsi="仿宋_GB2312" w:cs="仿宋_GB2312"/>
                <w:bCs/>
                <w:color w:val="auto"/>
                <w:sz w:val="28"/>
                <w:szCs w:val="28"/>
                <w:u w:val="none"/>
                <w:lang w:val="en-US" w:eastAsia="zh-CN"/>
              </w:rPr>
              <w:t>、</w:t>
            </w:r>
            <w:r>
              <w:rPr>
                <w:rFonts w:hint="eastAsia" w:ascii="仿宋_GB2312" w:hAnsi="仿宋_GB2312" w:eastAsia="仿宋_GB2312" w:cs="仿宋_GB2312"/>
                <w:bCs/>
                <w:color w:val="auto"/>
                <w:sz w:val="28"/>
                <w:szCs w:val="28"/>
                <w:u w:val="none"/>
                <w:lang w:val="en-US" w:eastAsia="zh-CN"/>
              </w:rPr>
              <w:t>高新区管委会</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altName w:val="Arial Unicode MS"/>
    <w:panose1 w:val="02000000000000000000"/>
    <w:charset w:val="86"/>
    <w:family w:val="script"/>
    <w:pitch w:val="default"/>
    <w:sig w:usb0="00000000" w:usb1="0000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0181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仿宋_GB2312" w:hAnsi="仿宋_GB2312" w:eastAsia="仿宋_GB2312" w:cs="Times New Roman"/>
      <w:spacing w:val="0"/>
      <w:kern w:val="2"/>
      <w:sz w:val="32"/>
      <w:szCs w:val="22"/>
      <w:lang w:val="en-US" w:eastAsia="zh-CN"/>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alloon Text"/>
    <w:basedOn w:val="1"/>
    <w:next w:val="3"/>
    <w:uiPriority w:val="0"/>
    <w:rPr>
      <w:sz w:val="18"/>
      <w:szCs w:val="18"/>
    </w:rPr>
  </w:style>
  <w:style w:type="paragraph" w:styleId="3">
    <w:name w:val="HTML Preformatted"/>
    <w:basedOn w:val="1"/>
    <w:uiPriority w:val="0"/>
    <w:pPr>
      <w:spacing w:before="100" w:beforeAutospacing="1" w:after="100" w:afterAutospacing="1"/>
    </w:pPr>
    <w:rPr>
      <w:rFonts w:ascii="Courier New" w:hAnsi="Courier New"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NTKO</cp:lastModifiedBy>
  <dcterms:modified xsi:type="dcterms:W3CDTF">2023-10-16T02:14:38Z</dcterms:modified>
  <dc:title>福州市市场主体住所、经营场所禁设区域目录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