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exact"/>
        <w:jc w:val="center"/>
        <w:rPr>
          <w:rFonts w:ascii="楷体_GB2312" w:hAnsi="楷体_GB2312" w:eastAsia="楷体_GB2312" w:cs="楷体_GB2312"/>
          <w:bCs/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福州市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人民政府关于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企业上市“榕腾计划”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实施意见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》政策解读</w:t>
      </w:r>
    </w:p>
    <w:p/>
    <w:p>
      <w:pPr>
        <w:keepNext w:val="0"/>
        <w:keepLines w:val="0"/>
        <w:pageBreakBefore w:val="0"/>
        <w:numPr>
          <w:ilvl w:val="0"/>
          <w:numId w:val="0"/>
        </w:numPr>
        <w:kinsoku/>
        <w:topLinePunct w:val="0"/>
        <w:autoSpaceDN/>
        <w:bidi w:val="0"/>
        <w:spacing w:line="60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topLinePunct w:val="0"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日前，福州市人民政府印发《福州市人民政府关于支持企业上市“榕腾计划”的实施意见》（以下简称《榕腾计划》），现就《榕腾计划》有关内容解读如下：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topLinePunct w:val="0"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起草背景和过程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topLinePunct w:val="0"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为贯彻落实党中央、国务院关于资本市场改革发展的决策部署，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把握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注册制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改革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发展机遇，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加大上市政策扶持力度，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根据提升上市公司质量的导向，按照后备企业培育→区域股权交易市场→“新三板”挂牌→境内外上市→再融资的整体脉络，分层次、分阶段予以企业相应扶持。</w:t>
      </w:r>
      <w:r>
        <w:rPr>
          <w:rFonts w:hint="eastAsia" w:hAnsi="仿宋_GB2312" w:eastAsia="仿宋_GB2312" w:cs="仿宋_GB2312"/>
          <w:color w:val="auto"/>
          <w:sz w:val="32"/>
          <w:szCs w:val="32"/>
          <w:lang w:val="en-US" w:eastAsia="zh-CN"/>
        </w:rPr>
        <w:t>2021年9月3日，北京证券交易所（简称北交所）注册成立。全国中小企业股份转让系统有限责任公司（“新三板”）精选层挂牌公司整体平移至北交所，挂牌公司的属性转变为上市公司（此后“新三板”精选层取消）。</w:t>
      </w:r>
      <w:r>
        <w:rPr>
          <w:rFonts w:hint="eastAsia" w:hAnsi="仿宋_GB2312" w:eastAsia="仿宋_GB2312" w:cs="仿宋_GB2312"/>
          <w:color w:val="auto"/>
          <w:sz w:val="32"/>
          <w:szCs w:val="32"/>
          <w:lang w:val="en-US" w:eastAsia="zh-CN"/>
        </w:rPr>
        <w:t>根据以上新政策，我局对《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榕腾计划</w:t>
      </w:r>
      <w:r>
        <w:rPr>
          <w:rFonts w:hint="eastAsia" w:hAnsi="仿宋_GB2312" w:eastAsia="仿宋_GB2312" w:cs="仿宋_GB2312"/>
          <w:color w:val="auto"/>
          <w:sz w:val="32"/>
          <w:szCs w:val="32"/>
          <w:lang w:val="en-US" w:eastAsia="zh-CN"/>
        </w:rPr>
        <w:t>》相关条款进行了完善和修订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topLinePunct w:val="0"/>
        <w:autoSpaceDN/>
        <w:bidi w:val="0"/>
        <w:spacing w:line="600" w:lineRule="exact"/>
        <w:ind w:left="0" w:leftChars="0" w:right="0" w:rightChars="0" w:firstLine="63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内容及特点</w:t>
      </w:r>
    </w:p>
    <w:p>
      <w:pPr>
        <w:keepNext w:val="0"/>
        <w:keepLines w:val="0"/>
        <w:pageBreakBefore w:val="0"/>
        <w:kinsoku/>
        <w:topLinePunct w:val="0"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bCs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市级及各县（市）区财政每年从部门预算中安排资金，专项用于扶持企业改制上市挂牌，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扶持对象原则上为除房地产、金融行业以外并列入市重点上市后备企业名单的企业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符合条件的上市公司及股权投资管理机构：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</w:rPr>
        <w:t>（一）鼓励企业股份制改制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 w:firstLine="642" w:firstLineChars="200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1.股改费用补助。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证券公司、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会计师事务所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律师事务所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任一中介机构，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签订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改制辅导等相关挂牌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上市服务协议并完成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股份制改制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的，给予补助30万元。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40" w:lineRule="exact"/>
        <w:ind w:left="0" w:leftChars="0" w:right="0" w:rightChars="0" w:firstLine="642" w:firstLineChars="200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2.规费减免。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对企业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股份制改制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过程中涉及的相关部门规费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在权限范围内给予减免或按最低标准收取。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</w:rPr>
        <w:t>）鼓励企业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eastAsia="zh-CN"/>
        </w:rPr>
        <w:t>在“新三板”和区域性股权交易市场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</w:rPr>
        <w:t>挂牌融资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36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36"/>
          <w:sz w:val="32"/>
          <w:szCs w:val="32"/>
        </w:rPr>
        <w:t>“新三板”挂牌奖励。</w:t>
      </w:r>
      <w:r>
        <w:rPr>
          <w:rFonts w:hint="eastAsia" w:ascii="仿宋_GB2312" w:hAnsi="仿宋_GB2312" w:eastAsia="仿宋_GB2312" w:cs="仿宋_GB2312"/>
          <w:bCs/>
          <w:color w:val="auto"/>
          <w:kern w:val="36"/>
          <w:sz w:val="32"/>
          <w:szCs w:val="32"/>
        </w:rPr>
        <w:t>企业进入全国中小企业股份转让系统（“新三板”）创新层</w:t>
      </w:r>
      <w:r>
        <w:rPr>
          <w:rFonts w:hint="eastAsia" w:ascii="仿宋_GB2312" w:hAnsi="仿宋_GB2312" w:eastAsia="仿宋_GB2312" w:cs="仿宋_GB2312"/>
          <w:bCs/>
          <w:color w:val="auto"/>
          <w:kern w:val="36"/>
          <w:sz w:val="32"/>
          <w:szCs w:val="32"/>
          <w:lang w:eastAsia="zh-CN"/>
        </w:rPr>
        <w:t>挂牌的，</w:t>
      </w:r>
      <w:r>
        <w:rPr>
          <w:rFonts w:hint="eastAsia" w:ascii="仿宋_GB2312" w:hAnsi="仿宋_GB2312" w:eastAsia="仿宋_GB2312" w:cs="仿宋_GB2312"/>
          <w:bCs/>
          <w:color w:val="auto"/>
          <w:kern w:val="36"/>
          <w:sz w:val="32"/>
          <w:szCs w:val="32"/>
        </w:rPr>
        <w:t>奖励80万元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bCs/>
          <w:color w:val="auto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36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36"/>
          <w:sz w:val="32"/>
          <w:szCs w:val="32"/>
        </w:rPr>
        <w:t>区域性股权交易市场挂牌奖励。</w:t>
      </w:r>
      <w:r>
        <w:rPr>
          <w:rFonts w:hint="eastAsia" w:ascii="仿宋_GB2312" w:hAnsi="仿宋_GB2312" w:eastAsia="仿宋_GB2312" w:cs="仿宋_GB2312"/>
          <w:bCs/>
          <w:color w:val="auto"/>
          <w:kern w:val="36"/>
          <w:sz w:val="32"/>
          <w:szCs w:val="32"/>
        </w:rPr>
        <w:t>企业在海峡股权交易中心交易层挂牌的，奖励50万元。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挂牌贡献奖励。</w:t>
      </w:r>
      <w:r>
        <w:rPr>
          <w:rFonts w:hint="eastAsia" w:ascii="仿宋_GB2312" w:hAnsi="仿宋_GB2312" w:eastAsia="仿宋_GB2312" w:cs="仿宋_GB2312"/>
          <w:bCs/>
          <w:color w:val="auto"/>
          <w:kern w:val="36"/>
          <w:sz w:val="32"/>
          <w:szCs w:val="32"/>
          <w:lang w:val="en-US" w:eastAsia="zh-CN"/>
        </w:rPr>
        <w:t>企业在“新三板”</w:t>
      </w:r>
      <w:r>
        <w:rPr>
          <w:rFonts w:hint="eastAsia" w:ascii="仿宋_GB2312" w:hAnsi="仿宋_GB2312" w:eastAsia="仿宋_GB2312" w:cs="仿宋_GB2312"/>
          <w:bCs/>
          <w:color w:val="auto"/>
          <w:kern w:val="36"/>
          <w:sz w:val="32"/>
          <w:szCs w:val="32"/>
        </w:rPr>
        <w:t>创新层</w:t>
      </w:r>
      <w:r>
        <w:rPr>
          <w:rFonts w:hint="eastAsia" w:ascii="仿宋_GB2312" w:hAnsi="仿宋_GB2312" w:eastAsia="仿宋_GB2312" w:cs="仿宋_GB2312"/>
          <w:bCs/>
          <w:color w:val="auto"/>
          <w:kern w:val="36"/>
          <w:sz w:val="32"/>
          <w:szCs w:val="32"/>
          <w:lang w:val="en-US" w:eastAsia="zh-CN"/>
        </w:rPr>
        <w:t>、海峡股权交易中心交易层挂牌当年，按当年度比上年度对地方贡献新增部分的50%给予奖励，奖励金额最高不超过500万元。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</w:rPr>
        <w:t>）鼓励企业上市融资</w:t>
      </w:r>
    </w:p>
    <w:p>
      <w:pPr>
        <w:pStyle w:val="6"/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 w:firstLine="642" w:firstLineChars="200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1.境内上市奖励。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对拟在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上海、深圳、北京证券交易所（以下简称沪、深、北交易所）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申请上市的企业，经福建证监局辅导备案的，奖励100万元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（其中“新三板”创新层挂牌企业申请转板沪、深、北交易所上市，获福建证监局辅导备案的，在挂牌奖励的基础上，补足至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企业取得中国证监会关于首次公开发行股票注册批复文件的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，奖励200万元。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bidi w:val="0"/>
        <w:adjustRightInd w:val="0"/>
        <w:snapToGrid w:val="0"/>
        <w:spacing w:line="540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境外上市奖励。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以本市企业为上市主体直接在境外上市或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营运总部在本市以存在控制关系的境外公司实现间接上市，以招股说明书为依据，50%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（含）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以上实际募集资金投资我市且折人民币1亿元以上的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（采用首发上市日的当期汇率换算）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，奖励200万元。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4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3.上市贡献奖励。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企业在福建证监局辅导备案当年起至企业上市之年（最长不超过3年），按当年度比基数年度（基数年度是指上年度、辅导备案上年度或上次享受上市贡献奖励年度地方贡献最高者）对地方贡献新增部分的50%给予奖励，每年奖励金额最高不超过1000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color w:val="auto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36"/>
          <w:sz w:val="32"/>
          <w:szCs w:val="32"/>
        </w:rPr>
        <w:t>（四）再融资奖励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36"/>
          <w:sz w:val="32"/>
          <w:szCs w:val="32"/>
        </w:rPr>
        <w:t>上市公司通过增发、配股以及发行可转债等股权方式实现再融资，且实际募集资金50%</w:t>
      </w:r>
      <w:r>
        <w:rPr>
          <w:rFonts w:hint="eastAsia" w:ascii="仿宋_GB2312" w:hAnsi="仿宋_GB2312" w:eastAsia="仿宋_GB2312" w:cs="仿宋_GB2312"/>
          <w:bCs/>
          <w:color w:val="auto"/>
          <w:kern w:val="36"/>
          <w:sz w:val="32"/>
          <w:szCs w:val="32"/>
          <w:lang w:eastAsia="zh-CN"/>
        </w:rPr>
        <w:t>（含）</w:t>
      </w:r>
      <w:r>
        <w:rPr>
          <w:rFonts w:hint="eastAsia" w:ascii="仿宋_GB2312" w:hAnsi="仿宋_GB2312" w:eastAsia="仿宋_GB2312" w:cs="仿宋_GB2312"/>
          <w:bCs/>
          <w:color w:val="auto"/>
          <w:kern w:val="36"/>
          <w:sz w:val="32"/>
          <w:szCs w:val="32"/>
        </w:rPr>
        <w:t>以上投资于我市的，募集金额1亿元（含）～5亿元的，奖励50万元；金额5亿元（含）</w:t>
      </w:r>
      <w:r>
        <w:rPr>
          <w:rFonts w:hint="eastAsia" w:ascii="仿宋_GB2312" w:hAnsi="仿宋_GB2312" w:eastAsia="仿宋_GB2312" w:cs="仿宋_GB2312"/>
          <w:bCs/>
          <w:color w:val="auto"/>
          <w:kern w:val="36"/>
          <w:sz w:val="32"/>
          <w:szCs w:val="32"/>
          <w:lang w:eastAsia="zh-CN"/>
        </w:rPr>
        <w:t>以上</w:t>
      </w:r>
      <w:r>
        <w:rPr>
          <w:rFonts w:hint="eastAsia" w:ascii="仿宋_GB2312" w:hAnsi="仿宋_GB2312" w:eastAsia="仿宋_GB2312" w:cs="仿宋_GB2312"/>
          <w:bCs/>
          <w:color w:val="auto"/>
          <w:kern w:val="36"/>
          <w:sz w:val="32"/>
          <w:szCs w:val="32"/>
        </w:rPr>
        <w:t>的，奖励100万元。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color w:val="auto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36"/>
          <w:sz w:val="32"/>
          <w:szCs w:val="32"/>
        </w:rPr>
        <w:t>（五）上市公司引进奖励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36"/>
          <w:sz w:val="32"/>
          <w:szCs w:val="32"/>
        </w:rPr>
        <w:t>对市域外境内上市公司注册</w:t>
      </w:r>
      <w:r>
        <w:rPr>
          <w:rFonts w:hint="eastAsia" w:ascii="仿宋_GB2312" w:hAnsi="仿宋_GB2312" w:eastAsia="仿宋_GB2312" w:cs="仿宋_GB2312"/>
          <w:bCs/>
          <w:color w:val="auto"/>
          <w:kern w:val="36"/>
          <w:sz w:val="32"/>
          <w:szCs w:val="32"/>
          <w:lang w:eastAsia="zh-CN"/>
        </w:rPr>
        <w:t>登记</w:t>
      </w:r>
      <w:r>
        <w:rPr>
          <w:rFonts w:hint="eastAsia" w:ascii="仿宋_GB2312" w:hAnsi="仿宋_GB2312" w:eastAsia="仿宋_GB2312" w:cs="仿宋_GB2312"/>
          <w:bCs/>
          <w:color w:val="auto"/>
          <w:kern w:val="36"/>
          <w:sz w:val="32"/>
          <w:szCs w:val="32"/>
        </w:rPr>
        <w:t>地迁入我市，以及我市企业在境内通过资产重组形式实现上市且注册</w:t>
      </w:r>
      <w:r>
        <w:rPr>
          <w:rFonts w:hint="eastAsia" w:ascii="仿宋_GB2312" w:hAnsi="仿宋_GB2312" w:eastAsia="仿宋_GB2312" w:cs="仿宋_GB2312"/>
          <w:bCs/>
          <w:color w:val="auto"/>
          <w:kern w:val="36"/>
          <w:sz w:val="32"/>
          <w:szCs w:val="32"/>
          <w:lang w:eastAsia="zh-CN"/>
        </w:rPr>
        <w:t>登记</w:t>
      </w:r>
      <w:r>
        <w:rPr>
          <w:rFonts w:hint="eastAsia" w:ascii="仿宋_GB2312" w:hAnsi="仿宋_GB2312" w:eastAsia="仿宋_GB2312" w:cs="仿宋_GB2312"/>
          <w:bCs/>
          <w:color w:val="auto"/>
          <w:kern w:val="36"/>
          <w:sz w:val="32"/>
          <w:szCs w:val="32"/>
        </w:rPr>
        <w:t>地迁入我市，按上市公司注册地迁入当年扣除非经常性损益的净利润3000万元以下、3000万元（含）～1亿元、1亿元（含）～2亿元、2亿元（含）以上</w:t>
      </w:r>
      <w:r>
        <w:rPr>
          <w:rFonts w:hint="eastAsia" w:ascii="仿宋_GB2312" w:hAnsi="仿宋_GB2312" w:eastAsia="仿宋_GB2312" w:cs="仿宋_GB2312"/>
          <w:bCs/>
          <w:color w:val="auto"/>
          <w:kern w:val="3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36"/>
          <w:sz w:val="32"/>
          <w:szCs w:val="32"/>
        </w:rPr>
        <w:t>分档给予上市公司奖励200万元、300万元、500万元、1000万元</w:t>
      </w:r>
      <w:r>
        <w:rPr>
          <w:rFonts w:hint="eastAsia" w:ascii="仿宋_GB2312" w:hAnsi="仿宋_GB2312" w:eastAsia="仿宋_GB2312" w:cs="仿宋_GB2312"/>
          <w:bCs/>
          <w:color w:val="auto"/>
          <w:kern w:val="36"/>
          <w:sz w:val="32"/>
          <w:szCs w:val="32"/>
          <w:lang w:eastAsia="zh-CN"/>
        </w:rPr>
        <w:t>，企业应承诺若在十年内迁出我市，则需返还奖励资金。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bidi w:val="0"/>
        <w:adjustRightInd w:val="0"/>
        <w:snapToGrid w:val="0"/>
        <w:spacing w:line="540" w:lineRule="exact"/>
        <w:ind w:left="0" w:leftChars="0" w:right="0" w:rightChars="0" w:firstLine="616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color w:val="auto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36"/>
          <w:sz w:val="32"/>
          <w:szCs w:val="32"/>
        </w:rPr>
        <w:t>（六）引导股权投资基金重点投资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bidi w:val="0"/>
        <w:adjustRightInd w:val="0"/>
        <w:snapToGrid w:val="0"/>
        <w:spacing w:line="540" w:lineRule="exact"/>
        <w:ind w:left="0" w:leftChars="0" w:right="0" w:rightChars="0" w:firstLine="616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方正仿宋_GBK" w:eastAsia="仿宋_GB2312" w:cstheme="minorBidi"/>
          <w:bCs/>
          <w:color w:val="auto"/>
          <w:kern w:val="36"/>
          <w:sz w:val="32"/>
          <w:szCs w:val="32"/>
        </w:rPr>
        <w:t>经中国证券投资基金业协会备案的私募股权投资基金、创业投资基金</w:t>
      </w:r>
      <w:r>
        <w:rPr>
          <w:rFonts w:hint="eastAsia" w:ascii="仿宋_GB2312" w:hAnsi="方正仿宋_GBK" w:eastAsia="仿宋_GB2312" w:cstheme="minorBidi"/>
          <w:bCs/>
          <w:color w:val="auto"/>
          <w:kern w:val="36"/>
          <w:sz w:val="32"/>
          <w:szCs w:val="32"/>
          <w:lang w:eastAsia="zh-CN"/>
        </w:rPr>
        <w:t>新增</w:t>
      </w:r>
      <w:r>
        <w:rPr>
          <w:rFonts w:hint="eastAsia" w:ascii="仿宋_GB2312" w:hAnsi="方正仿宋_GBK" w:eastAsia="仿宋_GB2312" w:cstheme="minorBidi"/>
          <w:bCs/>
          <w:color w:val="auto"/>
          <w:kern w:val="36"/>
          <w:sz w:val="32"/>
          <w:szCs w:val="32"/>
        </w:rPr>
        <w:t>投资我市产业</w:t>
      </w:r>
      <w:r>
        <w:rPr>
          <w:rFonts w:hint="eastAsia" w:ascii="仿宋_GB2312" w:hAnsi="仿宋_GB2312" w:eastAsia="仿宋_GB2312" w:cs="仿宋_GB2312"/>
          <w:bCs/>
          <w:color w:val="auto"/>
          <w:kern w:val="36"/>
          <w:sz w:val="32"/>
          <w:szCs w:val="32"/>
        </w:rPr>
        <w:t>政策扶</w:t>
      </w:r>
      <w:r>
        <w:rPr>
          <w:rFonts w:hint="eastAsia" w:ascii="仿宋_GB2312" w:hAnsi="方正仿宋_GBK" w:eastAsia="仿宋_GB2312" w:cstheme="minorBidi"/>
          <w:bCs/>
          <w:color w:val="auto"/>
          <w:kern w:val="36"/>
          <w:sz w:val="32"/>
          <w:szCs w:val="32"/>
        </w:rPr>
        <w:t>持且与基金非关联的市重点上市后备企业，累计投资金额超过2000万元的，对其管理机构（需在我市</w:t>
      </w:r>
      <w:r>
        <w:rPr>
          <w:rFonts w:hint="eastAsia" w:ascii="仿宋_GB2312" w:hAnsi="方正仿宋_GBK" w:eastAsia="仿宋_GB2312" w:cstheme="minorBidi"/>
          <w:bCs/>
          <w:color w:val="auto"/>
          <w:kern w:val="36"/>
          <w:sz w:val="32"/>
          <w:szCs w:val="32"/>
          <w:lang w:eastAsia="zh-CN"/>
        </w:rPr>
        <w:t>注册登记</w:t>
      </w:r>
      <w:r>
        <w:rPr>
          <w:rFonts w:hint="eastAsia" w:ascii="仿宋_GB2312" w:hAnsi="方正仿宋_GBK" w:eastAsia="仿宋_GB2312" w:cstheme="minorBidi"/>
          <w:bCs/>
          <w:color w:val="auto"/>
          <w:kern w:val="36"/>
          <w:sz w:val="32"/>
          <w:szCs w:val="32"/>
        </w:rPr>
        <w:t>）按实际投资</w:t>
      </w:r>
      <w:r>
        <w:rPr>
          <w:rFonts w:hint="eastAsia" w:ascii="仿宋_GB2312" w:hAnsi="方正仿宋_GBK" w:eastAsia="仿宋_GB2312" w:cstheme="minorBidi"/>
          <w:bCs/>
          <w:color w:val="auto"/>
          <w:kern w:val="36"/>
          <w:sz w:val="32"/>
          <w:szCs w:val="32"/>
          <w:lang w:eastAsia="zh-CN"/>
        </w:rPr>
        <w:t>额</w:t>
      </w:r>
      <w:r>
        <w:rPr>
          <w:rFonts w:hint="eastAsia" w:ascii="仿宋_GB2312" w:hAnsi="方正仿宋_GBK" w:eastAsia="仿宋_GB2312" w:cstheme="minorBidi"/>
          <w:bCs/>
          <w:color w:val="auto"/>
          <w:kern w:val="36"/>
          <w:sz w:val="32"/>
          <w:szCs w:val="32"/>
        </w:rPr>
        <w:t>的0.5%予以奖励，</w:t>
      </w:r>
      <w:r>
        <w:rPr>
          <w:rFonts w:hint="eastAsia" w:ascii="仿宋_GB2312" w:hAnsi="方正仿宋_GBK" w:eastAsia="仿宋_GB2312" w:cstheme="minorBidi"/>
          <w:bCs/>
          <w:color w:val="auto"/>
          <w:kern w:val="36"/>
          <w:sz w:val="32"/>
          <w:szCs w:val="32"/>
          <w:lang w:eastAsia="zh-CN"/>
        </w:rPr>
        <w:t>同一管理机构</w:t>
      </w:r>
      <w:r>
        <w:rPr>
          <w:rFonts w:hint="eastAsia" w:ascii="仿宋_GB2312" w:hAnsi="方正仿宋_GBK" w:eastAsia="仿宋_GB2312" w:cstheme="minorBidi"/>
          <w:bCs/>
          <w:color w:val="auto"/>
          <w:kern w:val="36"/>
          <w:sz w:val="32"/>
          <w:szCs w:val="32"/>
        </w:rPr>
        <w:t>奖励金额</w:t>
      </w:r>
      <w:r>
        <w:rPr>
          <w:rFonts w:hint="eastAsia" w:ascii="仿宋_GB2312" w:hAnsi="方正仿宋_GBK" w:eastAsia="仿宋_GB2312" w:cstheme="minorBidi"/>
          <w:bCs/>
          <w:color w:val="auto"/>
          <w:kern w:val="36"/>
          <w:sz w:val="32"/>
          <w:szCs w:val="32"/>
          <w:lang w:eastAsia="zh-CN"/>
        </w:rPr>
        <w:t>累计</w:t>
      </w:r>
      <w:r>
        <w:rPr>
          <w:rFonts w:hint="eastAsia" w:ascii="仿宋_GB2312" w:hAnsi="方正仿宋_GBK" w:eastAsia="仿宋_GB2312" w:cstheme="minorBidi"/>
          <w:bCs/>
          <w:color w:val="auto"/>
          <w:kern w:val="36"/>
          <w:sz w:val="32"/>
          <w:szCs w:val="32"/>
        </w:rPr>
        <w:t>最高不超过</w:t>
      </w:r>
      <w:r>
        <w:rPr>
          <w:rFonts w:hint="eastAsia" w:ascii="仿宋_GB2312" w:hAnsi="方正仿宋_GBK" w:eastAsia="仿宋_GB2312" w:cstheme="minorBidi"/>
          <w:bCs/>
          <w:color w:val="auto"/>
          <w:kern w:val="36"/>
          <w:sz w:val="32"/>
          <w:szCs w:val="32"/>
          <w:lang w:val="en-US" w:eastAsia="zh-CN"/>
        </w:rPr>
        <w:t>1</w:t>
      </w:r>
      <w:r>
        <w:rPr>
          <w:rFonts w:hint="eastAsia" w:ascii="仿宋_GB2312" w:hAnsi="方正仿宋_GBK" w:eastAsia="仿宋_GB2312" w:cstheme="minorBidi"/>
          <w:bCs/>
          <w:color w:val="auto"/>
          <w:kern w:val="36"/>
          <w:sz w:val="32"/>
          <w:szCs w:val="32"/>
        </w:rPr>
        <w:t>00万元。</w:t>
      </w:r>
    </w:p>
    <w:p>
      <w:pPr>
        <w:keepNext w:val="0"/>
        <w:keepLines w:val="0"/>
        <w:pageBreakBefore w:val="0"/>
        <w:kinsoku/>
        <w:overflowPunct w:val="0"/>
        <w:topLinePunct w:val="0"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7A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C20310"/>
    <w:multiLevelType w:val="singleLevel"/>
    <w:tmpl w:val="60C2031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23BD2"/>
    <w:rsid w:val="073259A1"/>
    <w:rsid w:val="0C3F4634"/>
    <w:rsid w:val="0E5A25B3"/>
    <w:rsid w:val="0FC67DAF"/>
    <w:rsid w:val="119107AC"/>
    <w:rsid w:val="11AE21E8"/>
    <w:rsid w:val="1362628D"/>
    <w:rsid w:val="144620F4"/>
    <w:rsid w:val="14840A8C"/>
    <w:rsid w:val="163E7D87"/>
    <w:rsid w:val="1DA04611"/>
    <w:rsid w:val="1E223BD2"/>
    <w:rsid w:val="23A347B5"/>
    <w:rsid w:val="26066557"/>
    <w:rsid w:val="2771390F"/>
    <w:rsid w:val="30A21D2C"/>
    <w:rsid w:val="31C41207"/>
    <w:rsid w:val="3A6B2126"/>
    <w:rsid w:val="3FB35A92"/>
    <w:rsid w:val="40656B30"/>
    <w:rsid w:val="40C0460A"/>
    <w:rsid w:val="46CC18B5"/>
    <w:rsid w:val="48671E7E"/>
    <w:rsid w:val="4ECD0EBC"/>
    <w:rsid w:val="506A5E79"/>
    <w:rsid w:val="50891159"/>
    <w:rsid w:val="5B672167"/>
    <w:rsid w:val="5DA56DED"/>
    <w:rsid w:val="6362780E"/>
    <w:rsid w:val="6AB90D8C"/>
    <w:rsid w:val="6D287566"/>
    <w:rsid w:val="755C18AA"/>
    <w:rsid w:val="79A40866"/>
    <w:rsid w:val="7A413233"/>
    <w:rsid w:val="7EAF13CB"/>
    <w:rsid w:val="7F5BB643"/>
    <w:rsid w:val="7FD00C40"/>
    <w:rsid w:val="F66531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pPr>
      <w:widowControl w:val="0"/>
      <w:jc w:val="both"/>
    </w:pPr>
    <w:rPr>
      <w:rFonts w:ascii="仿宋_GB2312" w:hAnsi="Arial" w:eastAsia="Times New Roman" w:cs="Times New Roman"/>
      <w:color w:val="333333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  <w:jc w:val="both"/>
    </w:pPr>
    <w:rPr>
      <w:rFonts w:ascii="Calibri" w:hAnsi="Calibri" w:cs="Calibri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2021-06-15T17:17:00Z</dcterms:created>
  <dc:creator>0</dc:creator>
  <cp:lastModifiedBy>uos</cp:lastModifiedBy>
  <cp:lastPrinted>2022-12-05T14:55:25Z</cp:lastPrinted>
  <dcterms:modified xsi:type="dcterms:W3CDTF">2022-12-05T15:03:03Z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