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kern w:val="0"/>
          <w:sz w:val="36"/>
          <w:szCs w:val="36"/>
          <w:shd w:val="clear" w:fill="FFFFFF"/>
          <w:lang w:val="en-US" w:eastAsia="zh-CN" w:bidi="ar"/>
        </w:rPr>
        <w:t>关于《福州市深入推进长期护理保险制度试点的实施方案》的政策解读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999999"/>
          <w:spacing w:val="0"/>
          <w:kern w:val="0"/>
          <w:sz w:val="0"/>
          <w:szCs w:val="0"/>
          <w:shd w:val="clear" w:fill="FFFFFF"/>
          <w:lang w:val="en-US" w:eastAsia="zh-CN" w:bidi="ar"/>
        </w:rPr>
        <w:t>时间：2024-01-08 11:03</w:t>
      </w:r>
      <w:r>
        <w:rPr>
          <w:rFonts w:hint="eastAsia" w:ascii="微软雅黑" w:hAnsi="微软雅黑" w:eastAsia="微软雅黑" w:cs="微软雅黑"/>
          <w:i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caps w:val="0"/>
          <w:color w:val="999999"/>
          <w:spacing w:val="0"/>
          <w:kern w:val="0"/>
          <w:sz w:val="0"/>
          <w:szCs w:val="0"/>
          <w:shd w:val="clear" w:fill="FFFFFF"/>
          <w:lang w:val="en-US" w:eastAsia="zh-CN" w:bidi="ar"/>
        </w:rPr>
        <w:t>浏览量：29</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pStyle w:val="6"/>
        <w:keepNext w:val="0"/>
        <w:keepLines w:val="0"/>
        <w:widowControl/>
        <w:suppressLineNumbers w:val="0"/>
        <w:spacing w:before="0" w:beforeAutospacing="1" w:after="0" w:afterAutospacing="1" w:line="443" w:lineRule="atLeast"/>
        <w:ind w:left="0" w:right="0" w:firstLine="720"/>
        <w:jc w:val="both"/>
      </w:pPr>
      <w:r>
        <w:rPr>
          <w:rFonts w:ascii="宋体" w:hAnsi="宋体" w:eastAsia="宋体" w:cs="宋体"/>
          <w:i w:val="0"/>
          <w:caps w:val="0"/>
          <w:color w:val="333333"/>
          <w:spacing w:val="0"/>
          <w:sz w:val="36"/>
          <w:szCs w:val="36"/>
          <w:shd w:val="clear" w:fill="FFFFFF"/>
        </w:rPr>
        <w:t>近日，我市出台</w:t>
      </w:r>
      <w:bookmarkStart w:id="0" w:name="_GoBack"/>
      <w:bookmarkEnd w:id="0"/>
      <w:r>
        <w:rPr>
          <w:rFonts w:ascii="宋体" w:hAnsi="宋体" w:eastAsia="宋体" w:cs="宋体"/>
          <w:i w:val="0"/>
          <w:caps w:val="0"/>
          <w:color w:val="333333"/>
          <w:spacing w:val="0"/>
          <w:sz w:val="36"/>
          <w:szCs w:val="36"/>
          <w:shd w:val="clear" w:fill="FFFFFF"/>
        </w:rPr>
        <w:t>了《福州市深入推进长期护理保险制度试点的实施方案》</w:t>
      </w:r>
      <w:r>
        <w:rPr>
          <w:rFonts w:hint="eastAsia" w:ascii="宋体" w:hAnsi="宋体" w:eastAsia="宋体" w:cs="宋体"/>
          <w:i w:val="0"/>
          <w:caps w:val="0"/>
          <w:color w:val="333333"/>
          <w:spacing w:val="0"/>
          <w:sz w:val="36"/>
          <w:szCs w:val="36"/>
          <w:shd w:val="clear" w:fill="FFFFFF"/>
        </w:rPr>
        <w:t>(以下简称《实施方案》)，现将政策背景和修订的主要内容解读如下：</w:t>
      </w:r>
    </w:p>
    <w:p>
      <w:pPr>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kern w:val="0"/>
          <w:sz w:val="36"/>
          <w:szCs w:val="36"/>
          <w:shd w:val="clear" w:fill="FFFFFF"/>
          <w:lang w:val="en-US" w:eastAsia="zh-CN" w:bidi="ar"/>
        </w:rPr>
        <w:t>一、政策背景</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2020年12月21日印发的《福州市人民政府印发关于开展长期护理保险制度试点实施方案的通知》（榕政综〔2020〕262号）两年已到期，根据国家医保局、财政部《关于扩大长期护理保险制度试点的指导意见》(医保发〔2020〕37号)要求，以及今年8月市人大常委会审议我市长期护理保险试点工作，对我市长期护理保险试点工作提出了下一步具体意见并要求稳妥开展职工中度扩面工作。同时结合国家医保局及省医保局长期护理保险试点工作逐步提质扩面的工作需要，进一步健全本市长期护理保险制度体系，保障失能人员基本照护需求，对原方案进行修订。</w:t>
      </w:r>
    </w:p>
    <w:p>
      <w:pPr>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kern w:val="0"/>
          <w:sz w:val="36"/>
          <w:szCs w:val="36"/>
          <w:shd w:val="clear" w:fill="FFFFFF"/>
          <w:lang w:val="en-US" w:eastAsia="zh-CN" w:bidi="ar"/>
        </w:rPr>
        <w:t>二、修订的主要内容</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《实施方案》主要明确以下事项：</w:t>
      </w:r>
    </w:p>
    <w:p>
      <w:pPr>
        <w:pStyle w:val="6"/>
        <w:keepNext w:val="0"/>
        <w:keepLines w:val="0"/>
        <w:widowControl/>
        <w:suppressLineNumbers w:val="0"/>
        <w:spacing w:before="0" w:beforeAutospacing="1" w:after="0" w:afterAutospacing="1" w:line="443" w:lineRule="atLeast"/>
        <w:ind w:left="0" w:right="0" w:firstLine="723"/>
        <w:jc w:val="both"/>
      </w:pPr>
      <w:r>
        <w:rPr>
          <w:rFonts w:hint="eastAsia" w:ascii="宋体" w:hAnsi="宋体" w:eastAsia="宋体" w:cs="宋体"/>
          <w:b/>
          <w:i w:val="0"/>
          <w:caps w:val="0"/>
          <w:color w:val="333333"/>
          <w:spacing w:val="0"/>
          <w:sz w:val="36"/>
          <w:szCs w:val="36"/>
          <w:shd w:val="clear" w:fill="FFFFFF"/>
        </w:rPr>
        <w:t>（一）参保对象和保障范围。</w:t>
      </w:r>
      <w:r>
        <w:rPr>
          <w:rFonts w:hint="eastAsia" w:ascii="宋体" w:hAnsi="宋体" w:eastAsia="宋体" w:cs="宋体"/>
          <w:i w:val="0"/>
          <w:caps w:val="0"/>
          <w:color w:val="333333"/>
          <w:spacing w:val="0"/>
          <w:sz w:val="36"/>
          <w:szCs w:val="36"/>
          <w:shd w:val="clear" w:fill="FFFFFF"/>
        </w:rPr>
        <w:t>长期护理保险对象为我市职工基本医疗保险参保人员，待遇保障范围从长期处于重度失能扩大至长期处于中度失能状态的参保职工。</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 </w:t>
      </w:r>
    </w:p>
    <w:p>
      <w:pPr>
        <w:pStyle w:val="6"/>
        <w:keepNext w:val="0"/>
        <w:keepLines w:val="0"/>
        <w:widowControl/>
        <w:suppressLineNumbers w:val="0"/>
        <w:spacing w:before="0" w:beforeAutospacing="1" w:after="0" w:afterAutospacing="1" w:line="443" w:lineRule="atLeast"/>
        <w:ind w:left="0" w:right="0" w:firstLine="723"/>
        <w:jc w:val="both"/>
      </w:pPr>
      <w:r>
        <w:rPr>
          <w:rFonts w:hint="eastAsia" w:ascii="宋体" w:hAnsi="宋体" w:eastAsia="宋体" w:cs="宋体"/>
          <w:b/>
          <w:i w:val="0"/>
          <w:caps w:val="0"/>
          <w:color w:val="333333"/>
          <w:spacing w:val="0"/>
          <w:sz w:val="36"/>
          <w:szCs w:val="36"/>
          <w:shd w:val="clear" w:fill="FFFFFF"/>
        </w:rPr>
        <w:t>（二）筹资方式和标准方面。</w:t>
      </w:r>
      <w:r>
        <w:rPr>
          <w:rFonts w:hint="eastAsia" w:ascii="宋体" w:hAnsi="宋体" w:eastAsia="宋体" w:cs="宋体"/>
          <w:i w:val="0"/>
          <w:caps w:val="0"/>
          <w:color w:val="333333"/>
          <w:spacing w:val="0"/>
          <w:sz w:val="36"/>
          <w:szCs w:val="36"/>
          <w:shd w:val="clear" w:fill="FFFFFF"/>
        </w:rPr>
        <w:t>原筹资方式保持不变，长期护理保险基金以当期职工医保缴费基数为缴费基数，在职职工(含灵活就业人员)缴费比例为0.25%，由用人单位和个人按照1: 1比例分担。退休人员缴费基数由原方案按拨付的职工医保个人账户计算基数为缴费基数更改为平均养老金作为缴费基数，缴费比例0.125%。</w:t>
      </w:r>
    </w:p>
    <w:p>
      <w:pPr>
        <w:pStyle w:val="6"/>
        <w:keepNext w:val="0"/>
        <w:keepLines w:val="0"/>
        <w:widowControl/>
        <w:suppressLineNumbers w:val="0"/>
        <w:spacing w:before="0" w:beforeAutospacing="1" w:after="0" w:afterAutospacing="1" w:line="443" w:lineRule="atLeast"/>
        <w:ind w:left="0" w:right="0" w:firstLine="723"/>
        <w:jc w:val="both"/>
      </w:pPr>
      <w:r>
        <w:rPr>
          <w:rFonts w:hint="eastAsia" w:ascii="宋体" w:hAnsi="宋体" w:eastAsia="宋体" w:cs="宋体"/>
          <w:b/>
          <w:i w:val="0"/>
          <w:caps w:val="0"/>
          <w:color w:val="333333"/>
          <w:spacing w:val="0"/>
          <w:sz w:val="36"/>
          <w:szCs w:val="36"/>
          <w:shd w:val="clear" w:fill="FFFFFF"/>
        </w:rPr>
        <w:t>（三）待遇支付条件及范围方面。</w:t>
      </w:r>
      <w:r>
        <w:rPr>
          <w:rFonts w:hint="eastAsia" w:ascii="宋体" w:hAnsi="宋体" w:eastAsia="宋体" w:cs="宋体"/>
          <w:i w:val="0"/>
          <w:caps w:val="0"/>
          <w:color w:val="333333"/>
          <w:spacing w:val="0"/>
          <w:sz w:val="36"/>
          <w:szCs w:val="36"/>
          <w:shd w:val="clear" w:fill="FFFFFF"/>
        </w:rPr>
        <w:t>长期护理保险基金主要用于支付符合规定的机构和人员提供的基本护理服务所发生的费用、符合待遇享受条件的失能评估费用以及委托承办费用。重度、中度失能人员的护理服务费用基金支付水平不低于70%，对纳入医疗救助的特殊困难职工，在基金待遇支付比例上提高五个百分点。</w:t>
      </w:r>
    </w:p>
    <w:p>
      <w:pPr>
        <w:pStyle w:val="6"/>
        <w:keepNext w:val="0"/>
        <w:keepLines w:val="0"/>
        <w:widowControl/>
        <w:suppressLineNumbers w:val="0"/>
        <w:spacing w:before="0" w:beforeAutospacing="1" w:after="0" w:afterAutospacing="1" w:line="443" w:lineRule="atLeast"/>
        <w:ind w:left="0" w:right="0" w:firstLine="723"/>
        <w:jc w:val="both"/>
      </w:pPr>
      <w:r>
        <w:rPr>
          <w:rFonts w:hint="eastAsia" w:ascii="宋体" w:hAnsi="宋体" w:eastAsia="宋体" w:cs="宋体"/>
          <w:b/>
          <w:i w:val="0"/>
          <w:caps w:val="0"/>
          <w:color w:val="333333"/>
          <w:spacing w:val="0"/>
          <w:sz w:val="36"/>
          <w:szCs w:val="36"/>
          <w:shd w:val="clear" w:fill="FFFFFF"/>
        </w:rPr>
        <w:t>（四）评估管理。</w:t>
      </w:r>
      <w:r>
        <w:rPr>
          <w:rFonts w:hint="eastAsia" w:ascii="宋体" w:hAnsi="宋体" w:eastAsia="宋体" w:cs="宋体"/>
          <w:i w:val="0"/>
          <w:caps w:val="0"/>
          <w:color w:val="333333"/>
          <w:spacing w:val="0"/>
          <w:sz w:val="36"/>
          <w:szCs w:val="36"/>
          <w:shd w:val="clear" w:fill="FFFFFF"/>
        </w:rPr>
        <w:t>按照国家医保局最新出台印发的《长期护理保险失能等级评估管理办法》执行评估工作，评估结论有效期一般不超过2年。</w:t>
      </w:r>
    </w:p>
    <w:p>
      <w:pPr>
        <w:pStyle w:val="6"/>
        <w:keepNext w:val="0"/>
        <w:keepLines w:val="0"/>
        <w:widowControl/>
        <w:suppressLineNumbers w:val="0"/>
        <w:spacing w:before="0" w:beforeAutospacing="1" w:after="0" w:afterAutospacing="1" w:line="443" w:lineRule="atLeast"/>
        <w:ind w:left="0" w:right="0" w:firstLine="723"/>
        <w:jc w:val="both"/>
      </w:pPr>
      <w:r>
        <w:rPr>
          <w:rFonts w:hint="eastAsia" w:ascii="宋体" w:hAnsi="宋体" w:eastAsia="宋体" w:cs="宋体"/>
          <w:b/>
          <w:i w:val="0"/>
          <w:caps w:val="0"/>
          <w:color w:val="333333"/>
          <w:spacing w:val="0"/>
          <w:sz w:val="36"/>
          <w:szCs w:val="36"/>
          <w:shd w:val="clear" w:fill="FFFFFF"/>
        </w:rPr>
        <w:t>（五）经办管理。</w:t>
      </w:r>
      <w:r>
        <w:rPr>
          <w:rFonts w:hint="eastAsia" w:ascii="宋体" w:hAnsi="宋体" w:eastAsia="宋体" w:cs="宋体"/>
          <w:i w:val="0"/>
          <w:caps w:val="0"/>
          <w:color w:val="333333"/>
          <w:spacing w:val="0"/>
          <w:sz w:val="36"/>
          <w:szCs w:val="36"/>
          <w:shd w:val="clear" w:fill="FFFFFF"/>
        </w:rPr>
        <w:t>明确医保部门应对统筹区域内定点护理机构实施合理资源配置，统筹规划区域内长期护理保险定点护理机构布局，引导长期护理服务行业规范有序发展。</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委托承办方面，明确由市医保经办机构分别与委托承办机构、定点评估机构、定点护理机构签订服务协议。按照“多劳多得”原则，采取承办费用支付与待遇享受人数挂钩，以基金支出比例或例均定额标准进行结算。</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此外，《实施方案》还从基金管理、护理服务、信息系统、档案管理、考核监督、加强组织推动、强化职责分工、做好宣传引导等方面提出明确要求，进一步健全本市长期护理保险制度体系，保障失能人员基本照护需求。</w:t>
      </w:r>
    </w:p>
    <w:p>
      <w:pPr>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kern w:val="0"/>
          <w:sz w:val="36"/>
          <w:szCs w:val="36"/>
          <w:shd w:val="clear" w:fill="FFFFFF"/>
          <w:lang w:val="en-US" w:eastAsia="zh-CN" w:bidi="ar"/>
        </w:rPr>
        <w:t>三、施行日期及有效期说明</w:t>
      </w:r>
    </w:p>
    <w:p>
      <w:pPr>
        <w:pStyle w:val="6"/>
        <w:keepNext w:val="0"/>
        <w:keepLines w:val="0"/>
        <w:widowControl/>
        <w:suppressLineNumbers w:val="0"/>
        <w:spacing w:before="0" w:beforeAutospacing="1" w:after="0" w:afterAutospacing="1" w:line="443" w:lineRule="atLeast"/>
        <w:ind w:left="0" w:right="0" w:firstLine="720"/>
        <w:jc w:val="both"/>
      </w:pPr>
      <w:r>
        <w:rPr>
          <w:rFonts w:hint="eastAsia" w:ascii="宋体" w:hAnsi="宋体" w:eastAsia="宋体" w:cs="宋体"/>
          <w:i w:val="0"/>
          <w:caps w:val="0"/>
          <w:color w:val="333333"/>
          <w:spacing w:val="0"/>
          <w:sz w:val="36"/>
          <w:szCs w:val="36"/>
          <w:shd w:val="clear" w:fill="FFFFFF"/>
        </w:rPr>
        <w:t>本方案自2024年3月1日起施行，有效期至2027年2月28日。</w:t>
      </w:r>
    </w:p>
    <w:p>
      <w:pPr>
        <w:keepNext w:val="0"/>
        <w:keepLines w:val="0"/>
        <w:widowControl/>
        <w:suppressLineNumbers w:val="0"/>
        <w:wordWrap w:val="0"/>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7236793"/>
    <w:rsid w:val="0D6E7B4B"/>
    <w:rsid w:val="10E72C86"/>
    <w:rsid w:val="114C042C"/>
    <w:rsid w:val="128A22D3"/>
    <w:rsid w:val="1C5655F9"/>
    <w:rsid w:val="206047A1"/>
    <w:rsid w:val="22E066A0"/>
    <w:rsid w:val="266E3158"/>
    <w:rsid w:val="3E8311CB"/>
    <w:rsid w:val="4AA57C7B"/>
    <w:rsid w:val="4AC7080C"/>
    <w:rsid w:val="4AFF25EF"/>
    <w:rsid w:val="553140C2"/>
    <w:rsid w:val="5BF17C39"/>
    <w:rsid w:val="5F234FFD"/>
    <w:rsid w:val="6909386F"/>
    <w:rsid w:val="729A31D1"/>
    <w:rsid w:val="7A770297"/>
    <w:rsid w:val="7DCF02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2024-02-01T08:06:46Z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