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b/>
          <w:sz w:val="33"/>
          <w:szCs w:val="33"/>
        </w:rPr>
      </w:pPr>
      <w:r>
        <w:rPr>
          <w:b/>
          <w:i w:val="0"/>
          <w:caps w:val="0"/>
          <w:color w:val="333333"/>
          <w:spacing w:val="0"/>
          <w:sz w:val="33"/>
          <w:szCs w:val="33"/>
          <w:bdr w:val="none" w:color="auto" w:sz="0" w:space="0"/>
          <w:shd w:val="clear" w:fill="FFFFFF"/>
        </w:rPr>
        <w:t>福州市教育局关于2023年秋季幼儿园招生工作意见的政策解读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6E6E6E"/>
          <w:sz w:val="21"/>
          <w:szCs w:val="21"/>
        </w:rPr>
      </w:pPr>
      <w:r>
        <w:rPr>
          <w:b w:val="0"/>
          <w:i w:val="0"/>
          <w:caps w:val="0"/>
          <w:color w:val="6E6E6E"/>
          <w:spacing w:val="0"/>
          <w:sz w:val="21"/>
          <w:szCs w:val="21"/>
          <w:bdr w:val="none" w:color="auto" w:sz="0" w:space="0"/>
          <w:shd w:val="clear" w:fill="FFFFFF"/>
        </w:rPr>
        <w:t>2023-05-24 11:51    来源: 教育局     字号：</w:t>
      </w:r>
      <w:r>
        <w:rPr>
          <w:b w:val="0"/>
          <w:i w:val="0"/>
          <w:caps w:val="0"/>
          <w:color w:val="6E6E6E"/>
          <w:spacing w:val="0"/>
          <w:sz w:val="21"/>
          <w:szCs w:val="21"/>
          <w:u w:val="none"/>
          <w:bdr w:val="none" w:color="auto" w:sz="0" w:space="0"/>
          <w:shd w:val="clear" w:fill="FFFFFF"/>
        </w:rPr>
        <w:fldChar w:fldCharType="begin"/>
      </w:r>
      <w:r>
        <w:rPr>
          <w:b w:val="0"/>
          <w:i w:val="0"/>
          <w:caps w:val="0"/>
          <w:color w:val="6E6E6E"/>
          <w:spacing w:val="0"/>
          <w:sz w:val="21"/>
          <w:szCs w:val="21"/>
          <w:u w:val="none"/>
          <w:bdr w:val="none" w:color="auto" w:sz="0" w:space="0"/>
          <w:shd w:val="clear" w:fill="FFFFFF"/>
        </w:rPr>
        <w:instrText xml:space="preserve"> HYPERLINK "https://jyj.fuzhou.gov.cn/zz/zwgk/zcfgjjd/202305/javascript:void(0)" </w:instrText>
      </w:r>
      <w:r>
        <w:rPr>
          <w:b w:val="0"/>
          <w:i w:val="0"/>
          <w:caps w:val="0"/>
          <w:color w:val="6E6E6E"/>
          <w:spacing w:val="0"/>
          <w:sz w:val="21"/>
          <w:szCs w:val="21"/>
          <w:u w:val="none"/>
          <w:bdr w:val="none" w:color="auto" w:sz="0" w:space="0"/>
          <w:shd w:val="clear" w:fill="FFFFFF"/>
        </w:rPr>
        <w:fldChar w:fldCharType="separate"/>
      </w:r>
      <w:r>
        <w:rPr>
          <w:rStyle w:val="11"/>
          <w:b w:val="0"/>
          <w:i w:val="0"/>
          <w:caps w:val="0"/>
          <w:color w:val="6E6E6E"/>
          <w:spacing w:val="0"/>
          <w:sz w:val="21"/>
          <w:szCs w:val="21"/>
          <w:u w:val="none"/>
          <w:bdr w:val="none" w:color="auto" w:sz="0" w:space="0"/>
          <w:shd w:val="clear" w:fill="FFFFFF"/>
        </w:rPr>
        <w:t>大  </w:t>
      </w:r>
      <w:r>
        <w:rPr>
          <w:b w:val="0"/>
          <w:i w:val="0"/>
          <w:caps w:val="0"/>
          <w:color w:val="6E6E6E"/>
          <w:spacing w:val="0"/>
          <w:sz w:val="21"/>
          <w:szCs w:val="21"/>
          <w:u w:val="none"/>
          <w:bdr w:val="none" w:color="auto" w:sz="0" w:space="0"/>
          <w:shd w:val="clear" w:fill="FFFFFF"/>
        </w:rPr>
        <w:fldChar w:fldCharType="end"/>
      </w:r>
      <w:r>
        <w:rPr>
          <w:b w:val="0"/>
          <w:i w:val="0"/>
          <w:caps w:val="0"/>
          <w:color w:val="6E6E6E"/>
          <w:spacing w:val="0"/>
          <w:sz w:val="21"/>
          <w:szCs w:val="21"/>
          <w:bdr w:val="none" w:color="auto" w:sz="0" w:space="0"/>
          <w:shd w:val="clear" w:fill="FFFFFF"/>
        </w:rPr>
        <w:t>　</w:t>
      </w:r>
      <w:r>
        <w:rPr>
          <w:b w:val="0"/>
          <w:i w:val="0"/>
          <w:caps w:val="0"/>
          <w:color w:val="6E6E6E"/>
          <w:spacing w:val="0"/>
          <w:sz w:val="21"/>
          <w:szCs w:val="21"/>
          <w:u w:val="none"/>
          <w:bdr w:val="none" w:color="auto" w:sz="0" w:space="0"/>
          <w:shd w:val="clear" w:fill="FFFFFF"/>
        </w:rPr>
        <w:fldChar w:fldCharType="begin"/>
      </w:r>
      <w:r>
        <w:rPr>
          <w:b w:val="0"/>
          <w:i w:val="0"/>
          <w:caps w:val="0"/>
          <w:color w:val="6E6E6E"/>
          <w:spacing w:val="0"/>
          <w:sz w:val="21"/>
          <w:szCs w:val="21"/>
          <w:u w:val="none"/>
          <w:bdr w:val="none" w:color="auto" w:sz="0" w:space="0"/>
          <w:shd w:val="clear" w:fill="FFFFFF"/>
        </w:rPr>
        <w:instrText xml:space="preserve"> HYPERLINK "https://jyj.fuzhou.gov.cn/zz/zwgk/zcfgjjd/202305/javascript:void(0)" </w:instrText>
      </w:r>
      <w:r>
        <w:rPr>
          <w:b w:val="0"/>
          <w:i w:val="0"/>
          <w:caps w:val="0"/>
          <w:color w:val="6E6E6E"/>
          <w:spacing w:val="0"/>
          <w:sz w:val="21"/>
          <w:szCs w:val="21"/>
          <w:u w:val="none"/>
          <w:bdr w:val="none" w:color="auto" w:sz="0" w:space="0"/>
          <w:shd w:val="clear" w:fill="FFFFFF"/>
        </w:rPr>
        <w:fldChar w:fldCharType="separate"/>
      </w:r>
      <w:r>
        <w:rPr>
          <w:rStyle w:val="11"/>
          <w:b w:val="0"/>
          <w:i w:val="0"/>
          <w:caps w:val="0"/>
          <w:color w:val="6E6E6E"/>
          <w:spacing w:val="0"/>
          <w:sz w:val="21"/>
          <w:szCs w:val="21"/>
          <w:u w:val="none"/>
          <w:bdr w:val="none" w:color="auto" w:sz="0" w:space="0"/>
          <w:shd w:val="clear" w:fill="FFFFFF"/>
        </w:rPr>
        <w:t>中  </w:t>
      </w:r>
      <w:r>
        <w:rPr>
          <w:b w:val="0"/>
          <w:i w:val="0"/>
          <w:caps w:val="0"/>
          <w:color w:val="6E6E6E"/>
          <w:spacing w:val="0"/>
          <w:sz w:val="21"/>
          <w:szCs w:val="21"/>
          <w:u w:val="none"/>
          <w:bdr w:val="none" w:color="auto" w:sz="0" w:space="0"/>
          <w:shd w:val="clear" w:fill="FFFFFF"/>
        </w:rPr>
        <w:fldChar w:fldCharType="end"/>
      </w:r>
      <w:r>
        <w:rPr>
          <w:b w:val="0"/>
          <w:i w:val="0"/>
          <w:caps w:val="0"/>
          <w:color w:val="6E6E6E"/>
          <w:spacing w:val="0"/>
          <w:sz w:val="21"/>
          <w:szCs w:val="21"/>
          <w:bdr w:val="none" w:color="auto" w:sz="0" w:space="0"/>
          <w:shd w:val="clear" w:fill="FFFFFF"/>
        </w:rPr>
        <w:t> </w:t>
      </w:r>
      <w:r>
        <w:rPr>
          <w:b w:val="0"/>
          <w:i w:val="0"/>
          <w:caps w:val="0"/>
          <w:color w:val="F26522"/>
          <w:spacing w:val="0"/>
          <w:sz w:val="21"/>
          <w:szCs w:val="21"/>
          <w:u w:val="none"/>
          <w:bdr w:val="none" w:color="auto" w:sz="0" w:space="0"/>
          <w:shd w:val="clear" w:fill="FFFFFF"/>
        </w:rPr>
        <w:fldChar w:fldCharType="begin"/>
      </w:r>
      <w:r>
        <w:rPr>
          <w:b w:val="0"/>
          <w:i w:val="0"/>
          <w:caps w:val="0"/>
          <w:color w:val="F26522"/>
          <w:spacing w:val="0"/>
          <w:sz w:val="21"/>
          <w:szCs w:val="21"/>
          <w:u w:val="none"/>
          <w:bdr w:val="none" w:color="auto" w:sz="0" w:space="0"/>
          <w:shd w:val="clear" w:fill="FFFFFF"/>
        </w:rPr>
        <w:instrText xml:space="preserve"> HYPERLINK "https://jyj.fuzhou.gov.cn/zz/zwgk/zcfgjjd/202305/javascript:void(0)" </w:instrText>
      </w:r>
      <w:r>
        <w:rPr>
          <w:b w:val="0"/>
          <w:i w:val="0"/>
          <w:caps w:val="0"/>
          <w:color w:val="F26522"/>
          <w:spacing w:val="0"/>
          <w:sz w:val="21"/>
          <w:szCs w:val="21"/>
          <w:u w:val="none"/>
          <w:bdr w:val="none" w:color="auto" w:sz="0" w:space="0"/>
          <w:shd w:val="clear" w:fill="FFFFFF"/>
        </w:rPr>
        <w:fldChar w:fldCharType="separate"/>
      </w:r>
      <w:r>
        <w:rPr>
          <w:rStyle w:val="11"/>
          <w:b w:val="0"/>
          <w:i w:val="0"/>
          <w:caps w:val="0"/>
          <w:color w:val="F26522"/>
          <w:spacing w:val="0"/>
          <w:sz w:val="21"/>
          <w:szCs w:val="21"/>
          <w:u w:val="none"/>
          <w:bdr w:val="none" w:color="auto" w:sz="0" w:space="0"/>
          <w:shd w:val="clear" w:fill="FFFFFF"/>
        </w:rPr>
        <w:t>小  </w:t>
      </w:r>
      <w:r>
        <w:rPr>
          <w:b w:val="0"/>
          <w:i w:val="0"/>
          <w:caps w:val="0"/>
          <w:color w:val="F26522"/>
          <w:spacing w:val="0"/>
          <w:sz w:val="21"/>
          <w:szCs w:val="21"/>
          <w:u w:val="none"/>
          <w:bdr w:val="none" w:color="auto" w:sz="0" w:space="0"/>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instrText xml:space="preserve">INCLUDEPICTURE \d "http://www.fuzhou.gov.cn/images/201908_fuzhou_xglj.png" \* MERGEFORMATINET </w:instrTex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fldChar w:fldCharType="separate"/>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drawing>
          <wp:inline distT="0" distB="0" distL="114300" distR="114300">
            <wp:extent cx="238125" cy="238125"/>
            <wp:effectExtent l="0" t="0" r="9525"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fldChar w:fldCharType="end"/>
      </w:r>
      <w:r>
        <w:rPr>
          <w:rFonts w:hint="eastAsia" w:ascii="微软雅黑" w:hAnsi="微软雅黑" w:eastAsia="微软雅黑" w:cs="微软雅黑"/>
          <w:i w:val="0"/>
          <w:caps w:val="0"/>
          <w:color w:val="FF9900"/>
          <w:spacing w:val="0"/>
          <w:kern w:val="0"/>
          <w:sz w:val="30"/>
          <w:szCs w:val="30"/>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FF9900"/>
          <w:spacing w:val="0"/>
          <w:kern w:val="0"/>
          <w:sz w:val="30"/>
          <w:szCs w:val="30"/>
          <w:u w:val="none"/>
          <w:bdr w:val="none" w:color="auto" w:sz="0" w:space="0"/>
          <w:shd w:val="clear" w:fill="FFFFFF"/>
          <w:lang w:val="en-US" w:eastAsia="zh-CN" w:bidi="ar"/>
        </w:rPr>
        <w:instrText xml:space="preserve"> HYPERLINK "http://jyj.fuzhou.gov.cn/zz/zwgk/tzgg_47610/202305/t20230524_4608464.htm" \t "https://jyj.fuzhou.gov.cn/zz/zwgk/zcfgjjd/202305/_blank" </w:instrText>
      </w:r>
      <w:r>
        <w:rPr>
          <w:rFonts w:hint="eastAsia" w:ascii="微软雅黑" w:hAnsi="微软雅黑" w:eastAsia="微软雅黑" w:cs="微软雅黑"/>
          <w:i w:val="0"/>
          <w:caps w:val="0"/>
          <w:color w:val="FF9900"/>
          <w:spacing w:val="0"/>
          <w:kern w:val="0"/>
          <w:sz w:val="30"/>
          <w:szCs w:val="30"/>
          <w:u w:val="none"/>
          <w:bdr w:val="none" w:color="auto" w:sz="0" w:space="0"/>
          <w:shd w:val="clear" w:fill="FFFFFF"/>
          <w:lang w:val="en-US" w:eastAsia="zh-CN" w:bidi="ar"/>
        </w:rPr>
        <w:fldChar w:fldCharType="separate"/>
      </w:r>
      <w:r>
        <w:rPr>
          <w:rStyle w:val="11"/>
          <w:rFonts w:hint="eastAsia" w:ascii="微软雅黑" w:hAnsi="微软雅黑" w:eastAsia="微软雅黑" w:cs="微软雅黑"/>
          <w:i w:val="0"/>
          <w:caps w:val="0"/>
          <w:color w:val="FF9900"/>
          <w:spacing w:val="0"/>
          <w:sz w:val="30"/>
          <w:szCs w:val="30"/>
          <w:u w:val="none"/>
          <w:bdr w:val="none" w:color="auto" w:sz="0" w:space="0"/>
          <w:shd w:val="clear" w:fill="FFFFFF"/>
        </w:rPr>
        <w:t>查看原文件链接</w:t>
      </w:r>
      <w:r>
        <w:rPr>
          <w:rFonts w:hint="eastAsia" w:ascii="微软雅黑" w:hAnsi="微软雅黑" w:eastAsia="微软雅黑" w:cs="微软雅黑"/>
          <w:i w:val="0"/>
          <w:caps w:val="0"/>
          <w:color w:val="FF9900"/>
          <w:spacing w:val="0"/>
          <w:kern w:val="0"/>
          <w:sz w:val="30"/>
          <w:szCs w:val="30"/>
          <w:u w:val="none"/>
          <w:bdr w:val="none" w:color="auto" w:sz="0" w:space="0"/>
          <w:shd w:val="clear" w:fill="FFFFFF"/>
          <w:lang w:val="en-US" w:eastAsia="zh-CN" w:bidi="ar"/>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一、文件出台背景</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学前教育是非义务教育，国家实行“政府主导、社会参与、公办民办并举”的办园体制；根据《福建省教育厅关于做好2023年普通中小学幼儿园招生入学工作的通知》,立足我市公民办幼儿园资源的配置情况，出于指导2023年福州市各级各类幼儿园招生工作的实际需要，出台本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二、关于2023秋季幼儿园小班入园年龄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截止2023年8月31日，大于等于3周岁且小于4周岁的适龄幼儿，入读幼儿园小班；即招收2019年9月1日至2020年8月31日期间出生的幼儿。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三、关于2023年秋季幼儿园招生政策发布时间</w:t>
      </w:r>
    </w:p>
    <w:tbl>
      <w:tblPr>
        <w:tblW w:w="830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0" w:type="dxa"/>
          <w:bottom w:w="0" w:type="dxa"/>
          <w:right w:w="0" w:type="dxa"/>
        </w:tblCellMar>
      </w:tblPr>
      <w:tblGrid>
        <w:gridCol w:w="847"/>
        <w:gridCol w:w="1853"/>
        <w:gridCol w:w="2714"/>
        <w:gridCol w:w="289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PrEx>
        <w:tc>
          <w:tcPr>
            <w:tcW w:w="847"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发布单位</w:t>
            </w:r>
          </w:p>
        </w:tc>
        <w:tc>
          <w:tcPr>
            <w:tcW w:w="185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福州市教育局</w:t>
            </w:r>
          </w:p>
        </w:tc>
        <w:tc>
          <w:tcPr>
            <w:tcW w:w="2714"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各县(市)区教育局</w:t>
            </w:r>
          </w:p>
        </w:tc>
        <w:tc>
          <w:tcPr>
            <w:tcW w:w="2890"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各幼儿园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847"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发布内容</w:t>
            </w:r>
          </w:p>
        </w:tc>
        <w:tc>
          <w:tcPr>
            <w:tcW w:w="185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《招生意见》</w:t>
            </w:r>
          </w:p>
        </w:tc>
        <w:tc>
          <w:tcPr>
            <w:tcW w:w="2714"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《招生方案》</w:t>
            </w:r>
          </w:p>
        </w:tc>
        <w:tc>
          <w:tcPr>
            <w:tcW w:w="2890"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《招生公告(或简章)》</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847"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发布时间</w:t>
            </w:r>
          </w:p>
        </w:tc>
        <w:tc>
          <w:tcPr>
            <w:tcW w:w="185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5月24日</w:t>
            </w:r>
          </w:p>
        </w:tc>
        <w:tc>
          <w:tcPr>
            <w:tcW w:w="2714"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6-7月</w:t>
            </w:r>
          </w:p>
        </w:tc>
        <w:tc>
          <w:tcPr>
            <w:tcW w:w="2890"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现场报名开始前1周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847"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发布地址</w:t>
            </w:r>
          </w:p>
        </w:tc>
        <w:tc>
          <w:tcPr>
            <w:tcW w:w="185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市政府、市教育局官网</w:t>
            </w:r>
          </w:p>
        </w:tc>
        <w:tc>
          <w:tcPr>
            <w:tcW w:w="2714"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各县(市)区政府或教育行政部门官网（详见《招生意见》的附件）</w:t>
            </w:r>
          </w:p>
        </w:tc>
        <w:tc>
          <w:tcPr>
            <w:tcW w:w="2890"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幼儿园大门口和社区宣传栏或幼儿园网站</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四、关于幼儿园招生方式</w:t>
      </w:r>
    </w:p>
    <w:tbl>
      <w:tblPr>
        <w:tblW w:w="830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0" w:type="dxa"/>
          <w:bottom w:w="0" w:type="dxa"/>
          <w:right w:w="0" w:type="dxa"/>
        </w:tblCellMar>
      </w:tblPr>
      <w:tblGrid>
        <w:gridCol w:w="553"/>
        <w:gridCol w:w="947"/>
        <w:gridCol w:w="947"/>
        <w:gridCol w:w="2813"/>
        <w:gridCol w:w="1759"/>
        <w:gridCol w:w="12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PrEx>
        <w:tc>
          <w:tcPr>
            <w:tcW w:w="553" w:type="dxa"/>
            <w:vMerge w:val="restart"/>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幼儿园</w:t>
            </w:r>
          </w:p>
        </w:tc>
        <w:tc>
          <w:tcPr>
            <w:tcW w:w="6466" w:type="dxa"/>
            <w:gridSpan w:val="4"/>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普惠性</w:t>
            </w:r>
          </w:p>
        </w:tc>
        <w:tc>
          <w:tcPr>
            <w:tcW w:w="1285"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非普惠性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53" w:type="dxa"/>
            <w:vMerge w:val="continue"/>
            <w:tcBorders>
              <w:top w:val="single" w:color="000000" w:sz="6" w:space="0"/>
              <w:left w:val="single" w:color="000000" w:sz="6" w:space="0"/>
              <w:bottom w:val="single" w:color="000000" w:sz="6" w:space="0"/>
              <w:right w:val="single" w:color="000000" w:sz="6" w:space="0"/>
            </w:tcBorders>
            <w:shd w:val="clear"/>
            <w:tcMar>
              <w:top w:w="0" w:type="dxa"/>
            </w:tcMar>
            <w:vAlign w:val="center"/>
          </w:tcPr>
          <w:p>
            <w:pPr>
              <w:rPr>
                <w:rFonts w:hint="eastAsia" w:ascii="宋体"/>
                <w:sz w:val="24"/>
                <w:szCs w:val="24"/>
              </w:rPr>
            </w:pPr>
          </w:p>
        </w:tc>
        <w:tc>
          <w:tcPr>
            <w:tcW w:w="947" w:type="dxa"/>
            <w:vMerge w:val="restart"/>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财政核拨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公办园</w:t>
            </w:r>
          </w:p>
        </w:tc>
        <w:tc>
          <w:tcPr>
            <w:tcW w:w="5519" w:type="dxa"/>
            <w:gridSpan w:val="3"/>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政府购买普惠园</w:t>
            </w:r>
          </w:p>
        </w:tc>
        <w:tc>
          <w:tcPr>
            <w:tcW w:w="1285" w:type="dxa"/>
            <w:vMerge w:val="restart"/>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非普惠性民办园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53" w:type="dxa"/>
            <w:vMerge w:val="continue"/>
            <w:tcBorders>
              <w:top w:val="single" w:color="000000" w:sz="6" w:space="0"/>
              <w:left w:val="single" w:color="000000" w:sz="6" w:space="0"/>
              <w:bottom w:val="single" w:color="000000" w:sz="6" w:space="0"/>
              <w:right w:val="single" w:color="000000" w:sz="6" w:space="0"/>
            </w:tcBorders>
            <w:shd w:val="clear"/>
            <w:tcMar>
              <w:top w:w="0" w:type="dxa"/>
            </w:tcMar>
            <w:vAlign w:val="center"/>
          </w:tcPr>
          <w:p>
            <w:pPr>
              <w:rPr>
                <w:rFonts w:hint="eastAsia" w:ascii="宋体"/>
                <w:sz w:val="24"/>
                <w:szCs w:val="24"/>
              </w:rPr>
            </w:pPr>
          </w:p>
        </w:tc>
        <w:tc>
          <w:tcPr>
            <w:tcW w:w="947" w:type="dxa"/>
            <w:vMerge w:val="continue"/>
            <w:tcBorders>
              <w:top w:val="single" w:color="000000" w:sz="6" w:space="0"/>
              <w:left w:val="single" w:color="000000" w:sz="6" w:space="0"/>
              <w:bottom w:val="single" w:color="000000" w:sz="6" w:space="0"/>
              <w:right w:val="single" w:color="000000" w:sz="6" w:space="0"/>
            </w:tcBorders>
            <w:shd w:val="clear"/>
            <w:tcMar>
              <w:top w:w="0" w:type="dxa"/>
            </w:tcMar>
            <w:vAlign w:val="center"/>
          </w:tcPr>
          <w:p>
            <w:pPr>
              <w:rPr>
                <w:rFonts w:hint="eastAsia" w:ascii="宋体"/>
                <w:sz w:val="24"/>
                <w:szCs w:val="24"/>
              </w:rPr>
            </w:pPr>
          </w:p>
        </w:tc>
        <w:tc>
          <w:tcPr>
            <w:tcW w:w="947"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非财政补助公办园</w:t>
            </w:r>
          </w:p>
        </w:tc>
        <w:tc>
          <w:tcPr>
            <w:tcW w:w="281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政府购买普惠性服务民办园</w:t>
            </w:r>
          </w:p>
        </w:tc>
        <w:tc>
          <w:tcPr>
            <w:tcW w:w="1759"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提供普惠性服务民办园</w:t>
            </w:r>
          </w:p>
        </w:tc>
        <w:tc>
          <w:tcPr>
            <w:tcW w:w="1285" w:type="dxa"/>
            <w:vMerge w:val="continue"/>
            <w:tcBorders>
              <w:top w:val="single" w:color="000000" w:sz="6" w:space="0"/>
              <w:left w:val="single" w:color="000000" w:sz="6" w:space="0"/>
              <w:bottom w:val="single" w:color="000000" w:sz="6" w:space="0"/>
              <w:right w:val="single" w:color="000000" w:sz="6" w:space="0"/>
            </w:tcBorders>
            <w:shd w:val="clear"/>
            <w:tcMar>
              <w:top w:w="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5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招生方式</w:t>
            </w:r>
          </w:p>
        </w:tc>
        <w:tc>
          <w:tcPr>
            <w:tcW w:w="947"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派位招生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自主招生</w:t>
            </w:r>
          </w:p>
        </w:tc>
        <w:tc>
          <w:tcPr>
            <w:tcW w:w="947"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派位招生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自主招生</w:t>
            </w:r>
          </w:p>
        </w:tc>
        <w:tc>
          <w:tcPr>
            <w:tcW w:w="281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由辖区教育行政部门自定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鼓励并引导园所参与派位招生</w:t>
            </w:r>
          </w:p>
        </w:tc>
        <w:tc>
          <w:tcPr>
            <w:tcW w:w="1759"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由辖区教育行政部门自定</w:t>
            </w:r>
          </w:p>
        </w:tc>
        <w:tc>
          <w:tcPr>
            <w:tcW w:w="1285"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自主招生</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另：1.特教学校举办的幼儿园(班)面向社会自主招生;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2.部队办园、部分省属部门、部分省属高校办园和特教学校举办的幼儿园实行自主招生。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五、关于幼儿园报名信息</w:t>
      </w:r>
    </w:p>
    <w:tbl>
      <w:tblPr>
        <w:tblW w:w="830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0" w:type="dxa"/>
          <w:bottom w:w="0" w:type="dxa"/>
          <w:right w:w="0" w:type="dxa"/>
        </w:tblCellMar>
      </w:tblPr>
      <w:tblGrid>
        <w:gridCol w:w="1780"/>
        <w:gridCol w:w="3989"/>
        <w:gridCol w:w="253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PrEx>
        <w:tc>
          <w:tcPr>
            <w:tcW w:w="1780"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keepNext w:val="0"/>
              <w:keepLines w:val="0"/>
              <w:widowControl/>
              <w:suppressLineNumbers w:val="0"/>
              <w:spacing w:before="0" w:beforeAutospacing="0" w:after="0" w:afterAutospacing="0"/>
              <w:ind w:left="0" w:right="0"/>
              <w:jc w:val="left"/>
              <w:rPr>
                <w:sz w:val="24"/>
                <w:szCs w:val="24"/>
              </w:rPr>
            </w:pPr>
            <w:r>
              <w:rPr>
                <w:rFonts w:ascii="宋体" w:hAnsi="宋体" w:eastAsia="宋体" w:cs="宋体"/>
                <w:kern w:val="0"/>
                <w:sz w:val="24"/>
                <w:szCs w:val="24"/>
                <w:bdr w:val="none" w:color="auto" w:sz="0" w:space="0"/>
                <w:lang w:val="en-US" w:eastAsia="zh-CN" w:bidi="ar"/>
              </w:rPr>
              <w:t> </w:t>
            </w:r>
          </w:p>
        </w:tc>
        <w:tc>
          <w:tcPr>
            <w:tcW w:w="3989"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具体内容</w:t>
            </w:r>
          </w:p>
        </w:tc>
        <w:tc>
          <w:tcPr>
            <w:tcW w:w="2535"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家长报名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780"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关注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各县(市)区招生方案</w:t>
            </w:r>
          </w:p>
        </w:tc>
        <w:tc>
          <w:tcPr>
            <w:tcW w:w="3989"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本辖区：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1.招生工作咨询电话；</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2.幼儿园招生方式、报名条件、报名时间；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3.参与派位幼儿园招生服务片区；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4.辖区幼儿园基本信息：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(1)名称、(2)地址、(3)办学性质、(4)示范等级、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(5)计划招生数、(6)收费标准等。</w:t>
            </w:r>
          </w:p>
        </w:tc>
        <w:tc>
          <w:tcPr>
            <w:tcW w:w="2535"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根据户籍所在辖区教育局的招生方案，选择幼儿园。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780"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关注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幼儿园招生公告(或简章)</w:t>
            </w:r>
          </w:p>
        </w:tc>
        <w:tc>
          <w:tcPr>
            <w:tcW w:w="3989"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本园：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1. 报名条件；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2. 报名所需提交的材料；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3. 报名时间；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4. 招生程序；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5.本园招生咨询电话等。</w:t>
            </w:r>
          </w:p>
        </w:tc>
        <w:tc>
          <w:tcPr>
            <w:tcW w:w="2535"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根据幼儿园招生公告(或简章)上的要求, 在规定的时间内提交报名材料。</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六、关于幼儿园的招生服务片区和派位招生</w:t>
      </w:r>
    </w:p>
    <w:tbl>
      <w:tblPr>
        <w:tblW w:w="830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0" w:type="dxa"/>
          <w:bottom w:w="0" w:type="dxa"/>
          <w:right w:w="0" w:type="dxa"/>
        </w:tblCellMar>
      </w:tblPr>
      <w:tblGrid>
        <w:gridCol w:w="1223"/>
        <w:gridCol w:w="70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PrEx>
        <w:tc>
          <w:tcPr>
            <w:tcW w:w="122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招生服务片区</w:t>
            </w:r>
          </w:p>
        </w:tc>
        <w:tc>
          <w:tcPr>
            <w:tcW w:w="7082"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各县(市)区教育行政部门根据就近入园的原则和本区实际划定辖区各级各类幼儿园的招生服务片区。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22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派位招生比例</w:t>
            </w:r>
          </w:p>
        </w:tc>
        <w:tc>
          <w:tcPr>
            <w:tcW w:w="7082"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参与派位招生的园所，其派位比例，由各县(市)区教育局自行确定，并在各县(市)区招生方案中予以明确。公办园派位招生的比例不少于30%。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223"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派位招生方式</w:t>
            </w:r>
          </w:p>
        </w:tc>
        <w:tc>
          <w:tcPr>
            <w:tcW w:w="7082" w:type="dxa"/>
            <w:tcBorders>
              <w:top w:val="single" w:color="000000" w:sz="6" w:space="0"/>
              <w:left w:val="single" w:color="000000" w:sz="6" w:space="0"/>
              <w:bottom w:val="single" w:color="000000" w:sz="6" w:space="0"/>
              <w:right w:val="single" w:color="000000" w:sz="6" w:space="0"/>
            </w:tcBorders>
            <w:shd w:val="clear"/>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bdr w:val="none" w:color="auto" w:sz="0" w:space="0"/>
              </w:rPr>
              <w:t>派位招生的方式，由各县(市)区教育局自行确定，可采取电脑摇号、电话报名、或其他公平公开的方式，须在各县(市)区招生方案中予以明确。五城区幼儿园派位招生的方式统一为电脑摇号。</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七、关于幼儿园的自主招生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各幼儿园要成立招生工作领导小组，统筹组织开展招生工作。自主招生录取的幼儿名单须由园招生工作领导小组集体研究确定。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八、关于公办幼儿园的招生服务片区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各县(市)区教育行政部门应根据相对就近的原则和本区实际，科学合理划定本辖区各级各类幼儿园的招生服务片区，并在各县(市)区“幼儿园招生方案”或“幼儿园招生信息”中予以明确。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福州市教育局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2023年5月24日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AC85016"/>
    <w:rsid w:val="2A4A6FC7"/>
    <w:rsid w:val="3E8311CB"/>
    <w:rsid w:val="4AFF25E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2023-07-14T07:25:24Z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