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关于《福州市促进文旅产业高质量发展的扶持措施（2024-2026年）》的政策解读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kern w:val="0"/>
          <w:sz w:val="0"/>
          <w:szCs w:val="0"/>
          <w:shd w:val="clear" w:fill="FFFFFF"/>
          <w:lang w:val="en-US" w:eastAsia="zh-CN" w:bidi="ar"/>
        </w:rPr>
        <w:t>时间：2024-07-31 16:13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kern w:val="0"/>
          <w:sz w:val="0"/>
          <w:szCs w:val="0"/>
          <w:shd w:val="clear" w:fill="FFFFFF"/>
          <w:lang w:val="en-US" w:eastAsia="zh-CN" w:bidi="ar"/>
        </w:rPr>
        <w:t>浏览量：62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    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近日，福州市文化和旅游局 福州市财政局印发《福州市促进文旅产业高质量发展的扶持措施（2024-2026年）》（榕文旅规〔2024〕1号，以下简称“《措施》”）。现就《措施》的有关内容解读如下：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一、出台的背景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为贯彻落实《福州市人民政府关于促进旅游业高质量发展的实施意见》（榕政综〔2021〕385号）、《中共福州市委办公厅 福州市人民政府办公厅关于印发〈推进福州文旅经济高质量发展行动方案〉的通知》（榕委办发〔2022〕7号）、《福州市人民政府办公厅关于促进福州市民宿高质量发展的若干意见》（榕政办规〔2023〕5号）等文件精神，进一步发挥我市文旅融合项目资金的宏观导向和激励作用，提高资金使用效益，促进我市文旅产业高质量发展，充分发挥文旅产业在促进福州经济和社会发展中的重要作用，结合我市文旅工作实际，制定了《措施》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二、主要内容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《措施》共有9条、32项具体补助措施。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（一）加强旅游基础设施建设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具体项目：旅游集散中心建设补助、自驾车旅居车营地补助、旅游景区设施建设提升补助、景区直通车补助、旅游观光巴士补助、城区内河及闽江游船补助。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（二）推动乡村旅游高质量发展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具体项目：乡村旅游精品示范村补助、红色旅游点（村）建设补助、乡村旅游品牌奖励。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（三）推进文旅产品优化升级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具体项目：旅游景区提质奖励、旅游度假区创建奖励、温泉旅游提质奖励、全域旅游补助、观光工厂及工业旅游示范基地奖励。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（四）加快智慧旅游创新发展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具体项目：智慧景区奖励、研学旅行示范基地奖励、文化和旅游部科技教育相关荣誉奖励。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（五）拓展旅游客源市场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具体项目：旅行社引客入榕奖励、旅行社组织本地游奖励、入榕旅游专列奖励。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（六）提升旅游从业人员素质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具体项目：政务接待导游补助、导游及红色讲解员大赛获奖选手奖励、中高级导游奖励。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（七）促进民宿产业提质增效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具体项目：旅游民宿提质奖励、旅游民宿集聚区补助、民宿主题创意营销宣传补助。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（八）打响“有福之州”文旅品牌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具体项目：文旅营销补助、宣传推介补助、中国旅游日福州分会场宣传补助、国家文旅产业融合发展示范区补助、新春文化旅游月县（市）区配套文旅活动补助、招商推介补助。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三、其它事项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1.本《措施》由福州市文化和旅游局会同福州市财政局解释，并组织开展申报、认定、兑现等工作，申报指南另行公布。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2.本《措施》自发布之日起施行，有效期至2026年12月31日。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福州市文化和旅游局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2024年7月29日</w:t>
      </w: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line="23" w:lineRule="atLeast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NGNlM2Y5ZjM3ZWIyNGM3NGY0YmVjZmZmY2FkYjQifQ=="/>
  </w:docVars>
  <w:rsids>
    <w:rsidRoot w:val="3E8311CB"/>
    <w:rsid w:val="1A0D4FAE"/>
    <w:rsid w:val="1F3D408A"/>
    <w:rsid w:val="249F6CCD"/>
    <w:rsid w:val="2A4A6FC7"/>
    <w:rsid w:val="2AE21271"/>
    <w:rsid w:val="3E8311CB"/>
    <w:rsid w:val="4AFF25EF"/>
    <w:rsid w:val="57562FAC"/>
    <w:rsid w:val="626A1C2E"/>
    <w:rsid w:val="71DA70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1818</Characters>
  <Lines>0</Lines>
  <Paragraphs>0</Paragraphs>
  <ScaleCrop>false</ScaleCrop>
  <LinksUpToDate>false</LinksUpToDate>
  <CharactersWithSpaces>1823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2023-03-16T08:05:00Z</dcterms:created>
  <dc:creator>伊风</dc:creator>
  <cp:lastModifiedBy>NTKO</cp:lastModifiedBy>
  <dcterms:modified xsi:type="dcterms:W3CDTF">2024-08-20T02:58:36Z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121149E98CC14E9EB984B06C78AAE7A2</vt:lpwstr>
  </property>
</Properties>
</file>