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b/>
          <w:i w:val="0"/>
          <w:caps w:val="0"/>
          <w:color w:val="333333"/>
          <w:spacing w:val="0"/>
          <w:sz w:val="33"/>
          <w:szCs w:val="33"/>
          <w:shd w:val="clear" w:fill="FFFFFF"/>
        </w:rPr>
      </w:pPr>
      <w:r>
        <w:rPr>
          <w:rFonts w:hint="eastAsia"/>
          <w:b/>
          <w:i w:val="0"/>
          <w:caps w:val="0"/>
          <w:color w:val="333333"/>
          <w:spacing w:val="0"/>
          <w:sz w:val="33"/>
          <w:szCs w:val="33"/>
          <w:shd w:val="clear" w:fill="FFFFFF"/>
        </w:rPr>
        <w:t>福州市教育局关于印发《2023年秋季幼儿园招生工作意见》的通知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color w:val="6E6E6E"/>
          <w:sz w:val="21"/>
          <w:szCs w:val="21"/>
        </w:rPr>
      </w:pPr>
      <w:bookmarkStart w:id="0" w:name="_GoBack"/>
      <w:bookmarkEnd w:id="0"/>
      <w:r>
        <w:rPr>
          <w:b w:val="0"/>
          <w:i w:val="0"/>
          <w:caps w:val="0"/>
          <w:color w:val="6E6E6E"/>
          <w:spacing w:val="0"/>
          <w:sz w:val="21"/>
          <w:szCs w:val="21"/>
          <w:shd w:val="clear" w:fill="FFFFFF"/>
        </w:rPr>
        <w:t>2023-05-24 11:51    来源: 教育局     字号：</w:t>
      </w:r>
      <w:r>
        <w:rPr>
          <w:b w:val="0"/>
          <w:i w:val="0"/>
          <w:caps w:val="0"/>
          <w:color w:val="6E6E6E"/>
          <w:spacing w:val="0"/>
          <w:sz w:val="21"/>
          <w:szCs w:val="21"/>
          <w:u w:val="none"/>
          <w:shd w:val="clear" w:fill="FFFFFF"/>
        </w:rPr>
        <w:fldChar w:fldCharType="begin"/>
      </w:r>
      <w:r>
        <w:rPr>
          <w:b w:val="0"/>
          <w:i w:val="0"/>
          <w:caps w:val="0"/>
          <w:color w:val="6E6E6E"/>
          <w:spacing w:val="0"/>
          <w:sz w:val="21"/>
          <w:szCs w:val="21"/>
          <w:u w:val="none"/>
          <w:shd w:val="clear" w:fill="FFFFFF"/>
        </w:rPr>
        <w:instrText xml:space="preserve"> HYPERLINK "https://jyj.fuzhou.gov.cn/zz/zwgk/zcfgjjd/202305/javascript:void(0)" </w:instrText>
      </w:r>
      <w:r>
        <w:rPr>
          <w:b w:val="0"/>
          <w:i w:val="0"/>
          <w:caps w:val="0"/>
          <w:color w:val="6E6E6E"/>
          <w:spacing w:val="0"/>
          <w:sz w:val="21"/>
          <w:szCs w:val="21"/>
          <w:u w:val="none"/>
          <w:shd w:val="clear" w:fill="FFFFFF"/>
        </w:rPr>
        <w:fldChar w:fldCharType="separate"/>
      </w:r>
      <w:r>
        <w:rPr>
          <w:rStyle w:val="11"/>
          <w:b w:val="0"/>
          <w:i w:val="0"/>
          <w:caps w:val="0"/>
          <w:color w:val="6E6E6E"/>
          <w:spacing w:val="0"/>
          <w:sz w:val="21"/>
          <w:szCs w:val="21"/>
          <w:u w:val="none"/>
          <w:shd w:val="clear" w:fill="FFFFFF"/>
        </w:rPr>
        <w:t>大  </w:t>
      </w:r>
      <w:r>
        <w:rPr>
          <w:b w:val="0"/>
          <w:i w:val="0"/>
          <w:caps w:val="0"/>
          <w:color w:val="6E6E6E"/>
          <w:spacing w:val="0"/>
          <w:sz w:val="21"/>
          <w:szCs w:val="21"/>
          <w:u w:val="none"/>
          <w:shd w:val="clear" w:fill="FFFFFF"/>
        </w:rPr>
        <w:fldChar w:fldCharType="end"/>
      </w:r>
      <w:r>
        <w:rPr>
          <w:b w:val="0"/>
          <w:i w:val="0"/>
          <w:caps w:val="0"/>
          <w:color w:val="6E6E6E"/>
          <w:spacing w:val="0"/>
          <w:sz w:val="21"/>
          <w:szCs w:val="21"/>
          <w:shd w:val="clear" w:fill="FFFFFF"/>
        </w:rPr>
        <w:t>　</w:t>
      </w:r>
      <w:r>
        <w:rPr>
          <w:b w:val="0"/>
          <w:i w:val="0"/>
          <w:caps w:val="0"/>
          <w:color w:val="6E6E6E"/>
          <w:spacing w:val="0"/>
          <w:sz w:val="21"/>
          <w:szCs w:val="21"/>
          <w:u w:val="none"/>
          <w:shd w:val="clear" w:fill="FFFFFF"/>
        </w:rPr>
        <w:fldChar w:fldCharType="begin"/>
      </w:r>
      <w:r>
        <w:rPr>
          <w:b w:val="0"/>
          <w:i w:val="0"/>
          <w:caps w:val="0"/>
          <w:color w:val="6E6E6E"/>
          <w:spacing w:val="0"/>
          <w:sz w:val="21"/>
          <w:szCs w:val="21"/>
          <w:u w:val="none"/>
          <w:shd w:val="clear" w:fill="FFFFFF"/>
        </w:rPr>
        <w:instrText xml:space="preserve"> HYPERLINK "https://jyj.fuzhou.gov.cn/zz/zwgk/zcfgjjd/202305/javascript:void(0)" </w:instrText>
      </w:r>
      <w:r>
        <w:rPr>
          <w:b w:val="0"/>
          <w:i w:val="0"/>
          <w:caps w:val="0"/>
          <w:color w:val="6E6E6E"/>
          <w:spacing w:val="0"/>
          <w:sz w:val="21"/>
          <w:szCs w:val="21"/>
          <w:u w:val="none"/>
          <w:shd w:val="clear" w:fill="FFFFFF"/>
        </w:rPr>
        <w:fldChar w:fldCharType="separate"/>
      </w:r>
      <w:r>
        <w:rPr>
          <w:rStyle w:val="11"/>
          <w:b w:val="0"/>
          <w:i w:val="0"/>
          <w:caps w:val="0"/>
          <w:color w:val="6E6E6E"/>
          <w:spacing w:val="0"/>
          <w:sz w:val="21"/>
          <w:szCs w:val="21"/>
          <w:u w:val="none"/>
          <w:shd w:val="clear" w:fill="FFFFFF"/>
        </w:rPr>
        <w:t>中  </w:t>
      </w:r>
      <w:r>
        <w:rPr>
          <w:b w:val="0"/>
          <w:i w:val="0"/>
          <w:caps w:val="0"/>
          <w:color w:val="6E6E6E"/>
          <w:spacing w:val="0"/>
          <w:sz w:val="21"/>
          <w:szCs w:val="21"/>
          <w:u w:val="none"/>
          <w:shd w:val="clear" w:fill="FFFFFF"/>
        </w:rPr>
        <w:fldChar w:fldCharType="end"/>
      </w:r>
      <w:r>
        <w:rPr>
          <w:b w:val="0"/>
          <w:i w:val="0"/>
          <w:caps w:val="0"/>
          <w:color w:val="6E6E6E"/>
          <w:spacing w:val="0"/>
          <w:sz w:val="21"/>
          <w:szCs w:val="21"/>
          <w:shd w:val="clear" w:fill="FFFFFF"/>
        </w:rPr>
        <w:t> </w:t>
      </w:r>
      <w:r>
        <w:rPr>
          <w:b w:val="0"/>
          <w:i w:val="0"/>
          <w:caps w:val="0"/>
          <w:color w:val="F26522"/>
          <w:spacing w:val="0"/>
          <w:sz w:val="21"/>
          <w:szCs w:val="21"/>
          <w:u w:val="none"/>
          <w:shd w:val="clear" w:fill="FFFFFF"/>
        </w:rPr>
        <w:fldChar w:fldCharType="begin"/>
      </w:r>
      <w:r>
        <w:rPr>
          <w:b w:val="0"/>
          <w:i w:val="0"/>
          <w:caps w:val="0"/>
          <w:color w:val="F26522"/>
          <w:spacing w:val="0"/>
          <w:sz w:val="21"/>
          <w:szCs w:val="21"/>
          <w:u w:val="none"/>
          <w:shd w:val="clear" w:fill="FFFFFF"/>
        </w:rPr>
        <w:instrText xml:space="preserve"> HYPERLINK "https://jyj.fuzhou.gov.cn/zz/zwgk/zcfgjjd/202305/javascript:void(0)" </w:instrText>
      </w:r>
      <w:r>
        <w:rPr>
          <w:b w:val="0"/>
          <w:i w:val="0"/>
          <w:caps w:val="0"/>
          <w:color w:val="F26522"/>
          <w:spacing w:val="0"/>
          <w:sz w:val="21"/>
          <w:szCs w:val="21"/>
          <w:u w:val="none"/>
          <w:shd w:val="clear" w:fill="FFFFFF"/>
        </w:rPr>
        <w:fldChar w:fldCharType="separate"/>
      </w:r>
      <w:r>
        <w:rPr>
          <w:rStyle w:val="11"/>
          <w:b w:val="0"/>
          <w:i w:val="0"/>
          <w:caps w:val="0"/>
          <w:color w:val="F26522"/>
          <w:spacing w:val="0"/>
          <w:sz w:val="21"/>
          <w:szCs w:val="21"/>
          <w:u w:val="none"/>
          <w:shd w:val="clear" w:fill="FFFFFF"/>
        </w:rPr>
        <w:t>小  </w:t>
      </w:r>
      <w:r>
        <w:rPr>
          <w:b w:val="0"/>
          <w:i w:val="0"/>
          <w:caps w:val="0"/>
          <w:color w:val="F26522"/>
          <w:spacing w:val="0"/>
          <w:sz w:val="21"/>
          <w:szCs w:val="21"/>
          <w:u w:val="none"/>
          <w:shd w:val="clear" w:fill="FFFFFF"/>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shd w:val="clear" w:fill="FFFFFF"/>
          <w:lang w:val="en-US" w:eastAsia="zh-CN" w:bidi="ar"/>
        </w:rPr>
        <w:fldChar w:fldCharType="begin"/>
      </w:r>
      <w:r>
        <w:rPr>
          <w:rFonts w:hint="eastAsia" w:ascii="微软雅黑" w:hAnsi="微软雅黑" w:eastAsia="微软雅黑" w:cs="微软雅黑"/>
          <w:i w:val="0"/>
          <w:caps w:val="0"/>
          <w:color w:val="000000"/>
          <w:spacing w:val="0"/>
          <w:kern w:val="0"/>
          <w:sz w:val="24"/>
          <w:szCs w:val="24"/>
          <w:shd w:val="clear" w:fill="FFFFFF"/>
          <w:lang w:val="en-US" w:eastAsia="zh-CN" w:bidi="ar"/>
        </w:rPr>
        <w:instrText xml:space="preserve">INCLUDEPICTURE \d "http://www.fuzhou.gov.cn/images/201908_fuzhou_xglj.png" \* MERGEFORMATINET </w:instrText>
      </w:r>
      <w:r>
        <w:rPr>
          <w:rFonts w:hint="eastAsia" w:ascii="微软雅黑" w:hAnsi="微软雅黑" w:eastAsia="微软雅黑" w:cs="微软雅黑"/>
          <w:i w:val="0"/>
          <w:caps w:val="0"/>
          <w:color w:val="000000"/>
          <w:spacing w:val="0"/>
          <w:kern w:val="0"/>
          <w:sz w:val="24"/>
          <w:szCs w:val="24"/>
          <w:shd w:val="clear" w:fill="FFFFFF"/>
          <w:lang w:val="en-US" w:eastAsia="zh-CN" w:bidi="ar"/>
        </w:rPr>
        <w:fldChar w:fldCharType="separate"/>
      </w:r>
      <w:r>
        <w:rPr>
          <w:rFonts w:hint="eastAsia" w:ascii="微软雅黑" w:hAnsi="微软雅黑" w:eastAsia="微软雅黑" w:cs="微软雅黑"/>
          <w:i w:val="0"/>
          <w:caps w:val="0"/>
          <w:color w:val="000000"/>
          <w:spacing w:val="0"/>
          <w:kern w:val="0"/>
          <w:sz w:val="24"/>
          <w:szCs w:val="24"/>
          <w:shd w:val="clear" w:fill="FFFFFF"/>
          <w:lang w:val="en-US" w:eastAsia="zh-CN" w:bidi="ar"/>
        </w:rPr>
        <w:drawing>
          <wp:inline distT="0" distB="0" distL="114300" distR="114300">
            <wp:extent cx="238125" cy="238125"/>
            <wp:effectExtent l="0" t="0" r="9525" b="889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38125" cy="238125"/>
                    </a:xfrm>
                    <a:prstGeom prst="rect">
                      <a:avLst/>
                    </a:prstGeom>
                    <a:noFill/>
                    <a:ln w="9525">
                      <a:noFill/>
                    </a:ln>
                  </pic:spPr>
                </pic:pic>
              </a:graphicData>
            </a:graphic>
          </wp:inline>
        </w:drawing>
      </w:r>
      <w:r>
        <w:rPr>
          <w:rFonts w:hint="eastAsia" w:ascii="微软雅黑" w:hAnsi="微软雅黑" w:eastAsia="微软雅黑" w:cs="微软雅黑"/>
          <w:i w:val="0"/>
          <w:caps w:val="0"/>
          <w:color w:val="000000"/>
          <w:spacing w:val="0"/>
          <w:kern w:val="0"/>
          <w:sz w:val="24"/>
          <w:szCs w:val="24"/>
          <w:shd w:val="clear" w:fill="FFFFFF"/>
          <w:lang w:val="en-US" w:eastAsia="zh-CN" w:bidi="ar"/>
        </w:rPr>
        <w:fldChar w:fldCharType="end"/>
      </w:r>
      <w:r>
        <w:rPr>
          <w:rFonts w:hint="eastAsia" w:ascii="微软雅黑" w:hAnsi="微软雅黑" w:eastAsia="微软雅黑" w:cs="微软雅黑"/>
          <w:i w:val="0"/>
          <w:caps w:val="0"/>
          <w:color w:val="FF9900"/>
          <w:spacing w:val="0"/>
          <w:kern w:val="0"/>
          <w:sz w:val="30"/>
          <w:szCs w:val="30"/>
          <w:u w:val="none"/>
          <w:shd w:val="clear" w:fill="FFFFFF"/>
          <w:lang w:val="en-US" w:eastAsia="zh-CN" w:bidi="ar"/>
        </w:rPr>
        <w:fldChar w:fldCharType="begin"/>
      </w:r>
      <w:r>
        <w:rPr>
          <w:rFonts w:hint="eastAsia" w:ascii="微软雅黑" w:hAnsi="微软雅黑" w:eastAsia="微软雅黑" w:cs="微软雅黑"/>
          <w:i w:val="0"/>
          <w:caps w:val="0"/>
          <w:color w:val="FF9900"/>
          <w:spacing w:val="0"/>
          <w:kern w:val="0"/>
          <w:sz w:val="30"/>
          <w:szCs w:val="30"/>
          <w:u w:val="none"/>
          <w:shd w:val="clear" w:fill="FFFFFF"/>
          <w:lang w:val="en-US" w:eastAsia="zh-CN" w:bidi="ar"/>
        </w:rPr>
        <w:instrText xml:space="preserve"> HYPERLINK "http://jyj.fuzhou.gov.cn/zz/zwgk/tzgg_47610/202305/t20230524_4608464.htm" \t "https://jyj.fuzhou.gov.cn/zz/zwgk/zcfgjjd/202305/_blank" </w:instrText>
      </w:r>
      <w:r>
        <w:rPr>
          <w:rFonts w:hint="eastAsia" w:ascii="微软雅黑" w:hAnsi="微软雅黑" w:eastAsia="微软雅黑" w:cs="微软雅黑"/>
          <w:i w:val="0"/>
          <w:caps w:val="0"/>
          <w:color w:val="FF9900"/>
          <w:spacing w:val="0"/>
          <w:kern w:val="0"/>
          <w:sz w:val="30"/>
          <w:szCs w:val="30"/>
          <w:u w:val="none"/>
          <w:shd w:val="clear" w:fill="FFFFFF"/>
          <w:lang w:val="en-US" w:eastAsia="zh-CN" w:bidi="ar"/>
        </w:rPr>
        <w:fldChar w:fldCharType="separate"/>
      </w:r>
      <w:r>
        <w:rPr>
          <w:rStyle w:val="11"/>
          <w:rFonts w:hint="eastAsia" w:ascii="微软雅黑" w:hAnsi="微软雅黑" w:eastAsia="微软雅黑" w:cs="微软雅黑"/>
          <w:i w:val="0"/>
          <w:caps w:val="0"/>
          <w:color w:val="FF9900"/>
          <w:spacing w:val="0"/>
          <w:sz w:val="30"/>
          <w:szCs w:val="30"/>
          <w:u w:val="none"/>
          <w:shd w:val="clear" w:fill="FFFFFF"/>
        </w:rPr>
        <w:t>查看原文件链接</w:t>
      </w:r>
      <w:r>
        <w:rPr>
          <w:rFonts w:hint="eastAsia" w:ascii="微软雅黑" w:hAnsi="微软雅黑" w:eastAsia="微软雅黑" w:cs="微软雅黑"/>
          <w:i w:val="0"/>
          <w:caps w:val="0"/>
          <w:color w:val="FF9900"/>
          <w:spacing w:val="0"/>
          <w:kern w:val="0"/>
          <w:sz w:val="30"/>
          <w:szCs w:val="30"/>
          <w:u w:val="none"/>
          <w:shd w:val="clear" w:fill="FFFFFF"/>
          <w:lang w:val="en-US" w:eastAsia="zh-CN" w:bidi="ar"/>
        </w:rPr>
        <w:fldChar w:fldCharType="end"/>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shd w:val="clear" w:fill="FFFFFF"/>
        </w:rPr>
        <w:t>一、文件出台背景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shd w:val="clear" w:fill="FFFFFF"/>
        </w:rPr>
        <w:t>学前教育是非义务教育，国家实行“政府主导、社会参与、公办民办并举”的办园体制；根据《福建省教育厅关于做好2023年普通中小学幼儿园招生入学工作的通知》,立足我市公民办幼儿园资源的配置情况，出于指导2023年福州市各级各类幼儿园招生工作的实际需要，出台本意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shd w:val="clear" w:fill="FFFFFF"/>
        </w:rPr>
        <w:t>二、关于2023秋季幼儿园小班入园年龄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shd w:val="clear" w:fill="FFFFFF"/>
        </w:rPr>
        <w:t>截止2023年8月31日，大于等于3周岁且小于4周岁的适龄幼儿，入读幼儿园小班；即招收2019年9月1日至2020年8月31日期间出生的幼儿。</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shd w:val="clear" w:fill="FFFFFF"/>
        </w:rPr>
        <w:t>三、关于2023年秋季幼儿园招生政策发布时间</w:t>
      </w:r>
    </w:p>
    <w:tbl>
      <w:tblPr>
        <w:tblStyle w:val="12"/>
        <w:tblW w:w="8304"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47"/>
        <w:gridCol w:w="1853"/>
        <w:gridCol w:w="2714"/>
        <w:gridCol w:w="289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PrEx>
        <w:tc>
          <w:tcPr>
            <w:tcW w:w="847" w:type="dxa"/>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发布单位</w:t>
            </w:r>
          </w:p>
        </w:tc>
        <w:tc>
          <w:tcPr>
            <w:tcW w:w="1853" w:type="dxa"/>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福州市教育局</w:t>
            </w:r>
          </w:p>
        </w:tc>
        <w:tc>
          <w:tcPr>
            <w:tcW w:w="2714" w:type="dxa"/>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各县(市)区教育局</w:t>
            </w:r>
          </w:p>
        </w:tc>
        <w:tc>
          <w:tcPr>
            <w:tcW w:w="2890" w:type="dxa"/>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各幼儿园</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847" w:type="dxa"/>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发布内容</w:t>
            </w:r>
          </w:p>
        </w:tc>
        <w:tc>
          <w:tcPr>
            <w:tcW w:w="1853" w:type="dxa"/>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《招生意见》</w:t>
            </w:r>
          </w:p>
        </w:tc>
        <w:tc>
          <w:tcPr>
            <w:tcW w:w="2714" w:type="dxa"/>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《招生方案》</w:t>
            </w:r>
          </w:p>
        </w:tc>
        <w:tc>
          <w:tcPr>
            <w:tcW w:w="2890" w:type="dxa"/>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《招生公告(或简章)》</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847" w:type="dxa"/>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发布时间</w:t>
            </w:r>
          </w:p>
        </w:tc>
        <w:tc>
          <w:tcPr>
            <w:tcW w:w="1853" w:type="dxa"/>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5月24日</w:t>
            </w:r>
          </w:p>
        </w:tc>
        <w:tc>
          <w:tcPr>
            <w:tcW w:w="2714" w:type="dxa"/>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6-7月</w:t>
            </w:r>
          </w:p>
        </w:tc>
        <w:tc>
          <w:tcPr>
            <w:tcW w:w="2890" w:type="dxa"/>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现场报名开始前1周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847" w:type="dxa"/>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发布地址</w:t>
            </w:r>
          </w:p>
        </w:tc>
        <w:tc>
          <w:tcPr>
            <w:tcW w:w="1853" w:type="dxa"/>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市政府、市教育局官网</w:t>
            </w:r>
          </w:p>
        </w:tc>
        <w:tc>
          <w:tcPr>
            <w:tcW w:w="2714" w:type="dxa"/>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各县(市)区政府或教育行政部门官网（详见《招生意见》的附件）</w:t>
            </w:r>
          </w:p>
        </w:tc>
        <w:tc>
          <w:tcPr>
            <w:tcW w:w="2890" w:type="dxa"/>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幼儿园大门口和社区宣传栏或幼儿园网站</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shd w:val="clear" w:fill="FFFFFF"/>
        </w:rPr>
        <w:t>四、关于幼儿园招生方式</w:t>
      </w:r>
    </w:p>
    <w:tbl>
      <w:tblPr>
        <w:tblStyle w:val="12"/>
        <w:tblW w:w="8304"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53"/>
        <w:gridCol w:w="947"/>
        <w:gridCol w:w="947"/>
        <w:gridCol w:w="2813"/>
        <w:gridCol w:w="1759"/>
        <w:gridCol w:w="128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c>
          <w:tcPr>
            <w:tcW w:w="553"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幼儿园</w:t>
            </w:r>
          </w:p>
        </w:tc>
        <w:tc>
          <w:tcPr>
            <w:tcW w:w="6466"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普惠性</w:t>
            </w:r>
          </w:p>
        </w:tc>
        <w:tc>
          <w:tcPr>
            <w:tcW w:w="1285" w:type="dxa"/>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非普惠性</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553"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rPr>
                <w:rFonts w:hint="eastAsia" w:ascii="宋体"/>
                <w:sz w:val="24"/>
                <w:szCs w:val="24"/>
              </w:rPr>
            </w:pPr>
          </w:p>
        </w:tc>
        <w:tc>
          <w:tcPr>
            <w:tcW w:w="947"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财政核拨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公办园</w:t>
            </w:r>
          </w:p>
        </w:tc>
        <w:tc>
          <w:tcPr>
            <w:tcW w:w="5519"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政府购买普惠园</w:t>
            </w:r>
          </w:p>
        </w:tc>
        <w:tc>
          <w:tcPr>
            <w:tcW w:w="1285"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非普惠性民办园</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553"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rPr>
                <w:rFonts w:hint="eastAsia" w:ascii="宋体"/>
                <w:sz w:val="24"/>
                <w:szCs w:val="24"/>
              </w:rPr>
            </w:pPr>
          </w:p>
        </w:tc>
        <w:tc>
          <w:tcPr>
            <w:tcW w:w="947"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rPr>
                <w:rFonts w:hint="eastAsia" w:ascii="宋体"/>
                <w:sz w:val="24"/>
                <w:szCs w:val="24"/>
              </w:rPr>
            </w:pPr>
          </w:p>
        </w:tc>
        <w:tc>
          <w:tcPr>
            <w:tcW w:w="947" w:type="dxa"/>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非财政补助公办园</w:t>
            </w:r>
          </w:p>
        </w:tc>
        <w:tc>
          <w:tcPr>
            <w:tcW w:w="2813" w:type="dxa"/>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政府购买普惠性服务民办园</w:t>
            </w:r>
          </w:p>
        </w:tc>
        <w:tc>
          <w:tcPr>
            <w:tcW w:w="1759" w:type="dxa"/>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提供普惠性服务民办园</w:t>
            </w:r>
          </w:p>
        </w:tc>
        <w:tc>
          <w:tcPr>
            <w:tcW w:w="128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553" w:type="dxa"/>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招生方式</w:t>
            </w:r>
          </w:p>
        </w:tc>
        <w:tc>
          <w:tcPr>
            <w:tcW w:w="947" w:type="dxa"/>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派位招生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自主招生</w:t>
            </w:r>
          </w:p>
        </w:tc>
        <w:tc>
          <w:tcPr>
            <w:tcW w:w="947" w:type="dxa"/>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派位招生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自主招生</w:t>
            </w:r>
          </w:p>
        </w:tc>
        <w:tc>
          <w:tcPr>
            <w:tcW w:w="2813" w:type="dxa"/>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由辖区教育行政部门自定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鼓励并引导园所参与派位招生</w:t>
            </w:r>
          </w:p>
        </w:tc>
        <w:tc>
          <w:tcPr>
            <w:tcW w:w="1759" w:type="dxa"/>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由辖区教育行政部门自定</w:t>
            </w:r>
          </w:p>
        </w:tc>
        <w:tc>
          <w:tcPr>
            <w:tcW w:w="1285" w:type="dxa"/>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自主招生</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shd w:val="clear" w:fill="FFFFFF"/>
        </w:rPr>
        <w:t>另：1.特教学校举办的幼儿园(班)面向社会自主招生;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shd w:val="clear" w:fill="FFFFFF"/>
        </w:rPr>
        <w:t>2.部队办园、部分省属部门、部分省属高校办园和特教学校举办的幼儿园实行自主招生。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shd w:val="clear" w:fill="FFFFFF"/>
        </w:rPr>
        <w:t>五、关于幼儿园报名信息</w:t>
      </w:r>
    </w:p>
    <w:tbl>
      <w:tblPr>
        <w:tblStyle w:val="12"/>
        <w:tblW w:w="8304"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780"/>
        <w:gridCol w:w="3989"/>
        <w:gridCol w:w="253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c>
          <w:tcPr>
            <w:tcW w:w="1780" w:type="dxa"/>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keepNext w:val="0"/>
              <w:keepLines w:val="0"/>
              <w:widowControl/>
              <w:suppressLineNumbers w:val="0"/>
              <w:spacing w:before="0" w:beforeAutospacing="0" w:after="0" w:afterAutospacing="0"/>
              <w:ind w:left="0" w:right="0"/>
              <w:jc w:val="left"/>
              <w:rPr>
                <w:sz w:val="24"/>
                <w:szCs w:val="24"/>
              </w:rPr>
            </w:pPr>
            <w:r>
              <w:rPr>
                <w:rFonts w:ascii="宋体" w:hAnsi="宋体" w:eastAsia="宋体" w:cs="宋体"/>
                <w:kern w:val="0"/>
                <w:sz w:val="24"/>
                <w:szCs w:val="24"/>
                <w:lang w:val="en-US" w:eastAsia="zh-CN" w:bidi="ar"/>
              </w:rPr>
              <w:t> </w:t>
            </w:r>
          </w:p>
        </w:tc>
        <w:tc>
          <w:tcPr>
            <w:tcW w:w="3989" w:type="dxa"/>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具体内容</w:t>
            </w:r>
          </w:p>
        </w:tc>
        <w:tc>
          <w:tcPr>
            <w:tcW w:w="2535" w:type="dxa"/>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家长报名</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1780" w:type="dxa"/>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关注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各县(市)区招生方案</w:t>
            </w:r>
          </w:p>
        </w:tc>
        <w:tc>
          <w:tcPr>
            <w:tcW w:w="3989" w:type="dxa"/>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sz w:val="24"/>
                <w:szCs w:val="24"/>
              </w:rPr>
              <w:t>本辖区：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sz w:val="24"/>
                <w:szCs w:val="24"/>
              </w:rPr>
              <w:t>1.招生工作咨询电话；</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sz w:val="24"/>
                <w:szCs w:val="24"/>
              </w:rPr>
              <w:t>2.幼儿园招生方式、报名条件、报名时间；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sz w:val="24"/>
                <w:szCs w:val="24"/>
              </w:rPr>
              <w:t>3.参与派位幼儿园招生服务片区；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sz w:val="24"/>
                <w:szCs w:val="24"/>
              </w:rPr>
              <w:t>4.辖区幼儿园基本信息：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sz w:val="24"/>
                <w:szCs w:val="24"/>
              </w:rPr>
              <w:t>(1)名称、(2)地址、(3)办学性质、(4)示范等级、</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sz w:val="24"/>
                <w:szCs w:val="24"/>
              </w:rPr>
              <w:t>(5)计划招生数、(6)收费标准等。</w:t>
            </w:r>
          </w:p>
        </w:tc>
        <w:tc>
          <w:tcPr>
            <w:tcW w:w="2535" w:type="dxa"/>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sz w:val="24"/>
                <w:szCs w:val="24"/>
              </w:rPr>
              <w:t>根据户籍所在辖区教育局的招生方案，选择幼儿园。</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1780" w:type="dxa"/>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关注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幼儿园招生公告(或简章)</w:t>
            </w:r>
          </w:p>
        </w:tc>
        <w:tc>
          <w:tcPr>
            <w:tcW w:w="3989" w:type="dxa"/>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sz w:val="24"/>
                <w:szCs w:val="24"/>
              </w:rPr>
              <w:t>本园：</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sz w:val="24"/>
                <w:szCs w:val="24"/>
              </w:rPr>
              <w:t>1. 报名条件；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sz w:val="24"/>
                <w:szCs w:val="24"/>
              </w:rPr>
              <w:t>2. 报名所需提交的材料；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sz w:val="24"/>
                <w:szCs w:val="24"/>
              </w:rPr>
              <w:t>3. 报名时间；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sz w:val="24"/>
                <w:szCs w:val="24"/>
              </w:rPr>
              <w:t>4. 招生程序；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sz w:val="24"/>
                <w:szCs w:val="24"/>
              </w:rPr>
              <w:t>5.本园招生咨询电话等。</w:t>
            </w:r>
          </w:p>
        </w:tc>
        <w:tc>
          <w:tcPr>
            <w:tcW w:w="2535" w:type="dxa"/>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sz w:val="24"/>
                <w:szCs w:val="24"/>
              </w:rPr>
              <w:t>根据幼儿园招生公告(或简章)上的要求, 在规定的时间内提交报名材料。</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shd w:val="clear" w:fill="FFFFFF"/>
        </w:rPr>
        <w:t>六、关于幼儿园的招生服务片区和派位招生</w:t>
      </w:r>
    </w:p>
    <w:tbl>
      <w:tblPr>
        <w:tblStyle w:val="12"/>
        <w:tblW w:w="8305"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23"/>
        <w:gridCol w:w="708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c>
          <w:tcPr>
            <w:tcW w:w="1223" w:type="dxa"/>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招生服务片区</w:t>
            </w:r>
          </w:p>
        </w:tc>
        <w:tc>
          <w:tcPr>
            <w:tcW w:w="7082" w:type="dxa"/>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sz w:val="24"/>
                <w:szCs w:val="24"/>
              </w:rPr>
              <w:t>各县(市)区教育行政部门根据就近入园的原则和本区实际划定辖区各级各类幼儿园的招生服务片区。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1223" w:type="dxa"/>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派位招生比例</w:t>
            </w:r>
          </w:p>
        </w:tc>
        <w:tc>
          <w:tcPr>
            <w:tcW w:w="7082" w:type="dxa"/>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sz w:val="24"/>
                <w:szCs w:val="24"/>
              </w:rPr>
              <w:t>参与派位招生的园所，其派位比例，由各县(市)区教育局自行确定，并在各县(市)区招生方案中予以明确。公办园派位招生的比例不少于30%。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c>
          <w:tcPr>
            <w:tcW w:w="1223" w:type="dxa"/>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rPr>
              <w:t>派位招生方式</w:t>
            </w:r>
          </w:p>
        </w:tc>
        <w:tc>
          <w:tcPr>
            <w:tcW w:w="7082" w:type="dxa"/>
            <w:tcBorders>
              <w:top w:val="single" w:color="000000" w:sz="6" w:space="0"/>
              <w:left w:val="single" w:color="000000" w:sz="6" w:space="0"/>
              <w:bottom w:val="single" w:color="000000" w:sz="6" w:space="0"/>
              <w:right w:val="single" w:color="000000" w:sz="6" w:space="0"/>
            </w:tcBorders>
            <w:shd w:val="clear" w:color="auto" w:fill="auto"/>
            <w:tcMar>
              <w:top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sz w:val="24"/>
                <w:szCs w:val="24"/>
              </w:rPr>
              <w:t>派位招生的方式，由各县(市)区教育局自行确定，可采取电脑摇号、电话报名、或其他公平公开的方式，须在各县(市)区招生方案中予以明确。五城区幼儿园派位招生的方式统一为电脑摇号。</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shd w:val="clear" w:fill="FFFFFF"/>
        </w:rPr>
        <w:t>七、关于幼儿园的自主招生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shd w:val="clear" w:fill="FFFFFF"/>
        </w:rPr>
        <w:t>各幼儿园要成立招生工作领导小组，统筹组织开展招生工作。自主招生录取的幼儿名单须由园招生工作领导小组集体研究确定。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shd w:val="clear" w:fill="FFFFFF"/>
        </w:rPr>
        <w:t>八、关于公办幼儿园的招生服务片区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shd w:val="clear" w:fill="FFFFFF"/>
        </w:rPr>
        <w:t>各县(市)区教育行政部门应根据相对就近的原则和本区实际，科学合理划定本辖区各级各类幼儿园的招生服务片区，并在各县(市)区“幼儿园招生方案”或“幼儿园招生信息”中予以明确。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20"/>
        <w:jc w:val="both"/>
        <w:rPr>
          <w:sz w:val="24"/>
          <w:szCs w:val="24"/>
        </w:rPr>
      </w:pPr>
      <w:r>
        <w:rPr>
          <w:rFonts w:hint="eastAsia" w:ascii="微软雅黑" w:hAnsi="微软雅黑" w:eastAsia="微软雅黑" w:cs="微软雅黑"/>
          <w:i w:val="0"/>
          <w:caps w:val="0"/>
          <w:color w:val="000000"/>
          <w:spacing w:val="0"/>
          <w:sz w:val="24"/>
          <w:szCs w:val="24"/>
          <w:shd w:val="clear" w:fill="FFFFFF"/>
        </w:rPr>
        <w:t>福州市教育局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firstLine="420"/>
        <w:rPr>
          <w:sz w:val="24"/>
          <w:szCs w:val="24"/>
        </w:rPr>
      </w:pPr>
      <w:r>
        <w:rPr>
          <w:rFonts w:hint="eastAsia" w:ascii="微软雅黑" w:hAnsi="微软雅黑" w:eastAsia="微软雅黑" w:cs="微软雅黑"/>
          <w:i w:val="0"/>
          <w:caps w:val="0"/>
          <w:color w:val="000000"/>
          <w:spacing w:val="0"/>
          <w:sz w:val="24"/>
          <w:szCs w:val="24"/>
          <w:shd w:val="clear" w:fill="FFFFFF"/>
        </w:rPr>
        <w:t>2023年5月24日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iconfont">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3NGNlM2Y5ZjM3ZWIyNGM3NGY0YmVjZmZmY2FkYjQifQ=="/>
  </w:docVars>
  <w:rsids>
    <w:rsidRoot w:val="3E8311CB"/>
    <w:rsid w:val="0AC85016"/>
    <w:rsid w:val="0F79559A"/>
    <w:rsid w:val="15785570"/>
    <w:rsid w:val="2A4A6FC7"/>
    <w:rsid w:val="3E8311CB"/>
    <w:rsid w:val="4AFF25EF"/>
    <w:rsid w:val="7C382D8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8">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1796</Words>
  <Characters>1818</Characters>
  <Lines>0</Lines>
  <Paragraphs>0</Paragraphs>
  <ScaleCrop>false</ScaleCrop>
  <LinksUpToDate>false</LinksUpToDate>
  <CharactersWithSpaces>1823</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2023-03-16T08:05:00Z</dcterms:created>
  <dc:creator>伊风</dc:creator>
  <cp:lastModifiedBy>NTKO</cp:lastModifiedBy>
  <dcterms:modified xsi:type="dcterms:W3CDTF">2023-09-19T06:09:06Z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121149E98CC14E9EB984B06C78AAE7A2</vt:lpwstr>
  </property>
</Properties>
</file>