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098B9A">
      <w:pPr>
        <w:keepNext w:val="0"/>
        <w:keepLines w:val="0"/>
        <w:pageBreakBefore w:val="0"/>
        <w:widowControl w:val="0"/>
        <w:suppressLineNumbers w:val="0"/>
        <w:kinsoku/>
        <w:wordWrap w:val="0"/>
        <w:overflowPunct/>
        <w:topLinePunct w:val="0"/>
        <w:autoSpaceDE/>
        <w:autoSpaceDN/>
        <w:bidi w:val="0"/>
        <w:adjustRightInd/>
        <w:snapToGrid w:val="0"/>
        <w:spacing w:before="1400" w:beforeAutospacing="0" w:afterAutospacing="0" w:line="240" w:lineRule="auto"/>
        <w:ind w:left="0" w:leftChars="0" w:right="250" w:rightChars="119" w:firstLine="0" w:firstLineChars="0"/>
        <w:jc w:val="right"/>
        <w:textAlignment w:val="auto"/>
        <w:outlineLvl w:val="9"/>
        <w:rPr>
          <w:rFonts w:hint="eastAsia" w:ascii="仿宋" w:hAnsi="仿宋" w:eastAsia="仿宋" w:cs="仿宋"/>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榕环评〔2026〕30号</w:t>
      </w:r>
    </w:p>
    <w:p w14:paraId="675BB14C">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right="0"/>
        <w:jc w:val="center"/>
        <w:textAlignment w:val="auto"/>
        <w:rPr>
          <w:rFonts w:hint="eastAsia" w:ascii="长城小标宋体" w:hAnsi="长城小标宋体" w:eastAsia="长城小标宋体" w:cs="长城小标宋体"/>
          <w:kern w:val="2"/>
          <w:sz w:val="40"/>
          <w:szCs w:val="40"/>
          <w:highlight w:val="none"/>
          <w:lang w:val="en-US" w:eastAsia="zh-CN" w:bidi="ar"/>
        </w:rPr>
      </w:pPr>
      <w:r>
        <w:rPr>
          <w:rFonts w:hint="eastAsia" w:ascii="长城小标宋体" w:hAnsi="长城小标宋体" w:eastAsia="长城小标宋体" w:cs="长城小标宋体"/>
          <w:kern w:val="2"/>
          <w:sz w:val="40"/>
          <w:szCs w:val="40"/>
          <w:highlight w:val="none"/>
          <w:lang w:val="en-US" w:eastAsia="zh-CN" w:bidi="ar"/>
        </w:rPr>
        <w:t>福州市生态环境局关于永正检验检测中心系统化与智能化提升改造项目环境影响报告表的</w:t>
      </w:r>
    </w:p>
    <w:p w14:paraId="3F7911B5">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right="0"/>
        <w:jc w:val="center"/>
        <w:textAlignment w:val="auto"/>
        <w:rPr>
          <w:rFonts w:hint="eastAsia" w:ascii="长城小标宋体" w:hAnsi="长城小标宋体" w:eastAsia="长城小标宋体" w:cs="长城小标宋体"/>
          <w:sz w:val="40"/>
          <w:szCs w:val="40"/>
          <w:highlight w:val="none"/>
          <w:lang w:val="en-US"/>
        </w:rPr>
      </w:pPr>
      <w:r>
        <w:rPr>
          <w:rFonts w:hint="eastAsia" w:ascii="长城小标宋体" w:hAnsi="长城小标宋体" w:eastAsia="长城小标宋体" w:cs="长城小标宋体"/>
          <w:kern w:val="2"/>
          <w:sz w:val="40"/>
          <w:szCs w:val="40"/>
          <w:highlight w:val="none"/>
          <w:lang w:val="en-US" w:eastAsia="zh-CN" w:bidi="ar"/>
        </w:rPr>
        <w:t>审批意见</w:t>
      </w:r>
    </w:p>
    <w:p w14:paraId="0287A0FF">
      <w:pPr>
        <w:keepNext w:val="0"/>
        <w:keepLines w:val="0"/>
        <w:widowControl w:val="0"/>
        <w:suppressLineNumbers w:val="0"/>
        <w:snapToGrid w:val="0"/>
        <w:spacing w:before="0" w:beforeAutospacing="0" w:after="0" w:afterAutospacing="0" w:line="600" w:lineRule="exact"/>
        <w:ind w:left="0" w:right="0"/>
        <w:jc w:val="both"/>
        <w:rPr>
          <w:rFonts w:hint="eastAsia" w:ascii="仿宋_GB2312" w:hAnsi="Times New Roman" w:eastAsia="仿宋_GB2312" w:cs="仿宋_GB2312"/>
          <w:kern w:val="2"/>
          <w:sz w:val="32"/>
          <w:szCs w:val="32"/>
          <w:highlight w:val="none"/>
          <w:lang w:val="en-US" w:eastAsia="zh-CN" w:bidi="ar"/>
        </w:rPr>
      </w:pPr>
    </w:p>
    <w:p w14:paraId="7434DB4E">
      <w:pPr>
        <w:keepNext w:val="0"/>
        <w:keepLines w:val="0"/>
        <w:widowControl w:val="0"/>
        <w:suppressLineNumbers w:val="0"/>
        <w:snapToGrid w:val="0"/>
        <w:spacing w:before="0" w:beforeAutospacing="0" w:after="0" w:afterAutospacing="0" w:line="360" w:lineRule="auto"/>
        <w:ind w:left="0" w:right="0"/>
        <w:jc w:val="both"/>
        <w:rPr>
          <w:rFonts w:hint="eastAsia" w:ascii="仿宋_GB2312" w:eastAsia="仿宋_GB2312" w:cs="仿宋_GB2312"/>
          <w:sz w:val="32"/>
          <w:szCs w:val="32"/>
          <w:highlight w:val="none"/>
          <w:lang w:val="en-US"/>
        </w:rPr>
      </w:pPr>
      <w:r>
        <w:rPr>
          <w:rFonts w:hint="eastAsia" w:ascii="仿宋_GB2312" w:hAnsi="Times New Roman" w:eastAsia="仿宋_GB2312" w:cs="仿宋_GB2312"/>
          <w:kern w:val="2"/>
          <w:sz w:val="32"/>
          <w:szCs w:val="32"/>
          <w:highlight w:val="none"/>
          <w:lang w:val="en-US" w:eastAsia="zh-CN" w:bidi="ar"/>
        </w:rPr>
        <w:t>福建省永正工程质量检测有限公司：</w:t>
      </w:r>
    </w:p>
    <w:p w14:paraId="6918F6E1">
      <w:pPr>
        <w:keepNext w:val="0"/>
        <w:keepLines w:val="0"/>
        <w:widowControl w:val="0"/>
        <w:suppressLineNumbers w:val="0"/>
        <w:snapToGrid w:val="0"/>
        <w:spacing w:before="0" w:beforeAutospacing="0" w:after="0" w:afterAutospacing="0" w:line="360" w:lineRule="auto"/>
        <w:ind w:left="0" w:right="0" w:firstLine="624" w:firstLineChars="195"/>
        <w:jc w:val="both"/>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你司报送的《永正检验检测中心系统化与智能化提升改造项目环境影响报告表》(以下简称《报告表》)收悉，经征求福州市闽侯生态环境局、福州市晋安生态环境局意见，现提出审批意见如下：</w:t>
      </w:r>
    </w:p>
    <w:p w14:paraId="6B60C854">
      <w:pPr>
        <w:keepNext w:val="0"/>
        <w:keepLines w:val="0"/>
        <w:widowControl w:val="0"/>
        <w:numPr>
          <w:ilvl w:val="0"/>
          <w:numId w:val="1"/>
        </w:numPr>
        <w:suppressLineNumbers w:val="0"/>
        <w:snapToGrid w:val="0"/>
        <w:spacing w:before="0" w:beforeAutospacing="0" w:after="0" w:afterAutospacing="0" w:line="360" w:lineRule="auto"/>
        <w:ind w:left="0" w:leftChars="0" w:right="0" w:rightChars="0" w:firstLine="624" w:firstLineChars="195"/>
        <w:jc w:val="both"/>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永正检验检测中心系统化与智能化提升改造项目利用现有场地，采购全自动钢筋拉力试验机、大型桥梁健康监测系统、ZOYON-RTM智能道路检测等相关设备,建设工程材料智能化检测实验室、城市更新与安全检测实验室、工业制造检测实验室及数字信息中心四大智能化功能实验室及中心。项目在晋安区和闽侯县进行建设，</w:t>
      </w:r>
      <w:r>
        <w:rPr>
          <w:rFonts w:hint="eastAsia" w:ascii="仿宋_GB2312" w:hAnsi="Times New Roman" w:eastAsia="仿宋_GB2312" w:cs="宋体"/>
          <w:color w:val="auto"/>
          <w:kern w:val="0"/>
          <w:sz w:val="32"/>
          <w:szCs w:val="32"/>
          <w:highlight w:val="none"/>
          <w:lang w:eastAsia="zh-CN" w:bidi="ar"/>
        </w:rPr>
        <w:t>晋安区场址</w:t>
      </w:r>
      <w:r>
        <w:rPr>
          <w:rFonts w:hint="eastAsia" w:ascii="仿宋_GB2312" w:hAnsi="Times New Roman" w:eastAsia="仿宋_GB2312" w:cs="宋体"/>
          <w:kern w:val="0"/>
          <w:sz w:val="32"/>
          <w:szCs w:val="32"/>
          <w:highlight w:val="none"/>
          <w:lang w:val="en-US" w:eastAsia="zh-CN" w:bidi="ar"/>
        </w:rPr>
        <w:t>租赁福州市晋安区鼓山镇福光路 333 号永正大厦A栋负二层仓库、1层局部及13-18层，建设城市更新与安全检测实验室、数字信息中心、办公区，该场址仅用于办公和仪器存放，不开展实验；闽侯县场址租赁闽侯县祥谦镇辅前路10号福州泰维克汽车配件有限公司研发楼、4#厂房、5#厂房，建设工程材料智能化检测实验室、工业制造检测实验室、数字信息中心</w:t>
      </w:r>
      <w:r>
        <w:rPr>
          <w:rFonts w:hint="eastAsia" w:ascii="仿宋_GB2312" w:hAnsi="Times New Roman" w:eastAsia="仿宋_GB2312" w:cs="宋体"/>
          <w:color w:val="auto"/>
          <w:kern w:val="0"/>
          <w:sz w:val="32"/>
          <w:szCs w:val="32"/>
          <w:highlight w:val="none"/>
          <w:lang w:val="en-US" w:eastAsia="zh-CN" w:bidi="ar"/>
        </w:rPr>
        <w:t>，</w:t>
      </w:r>
      <w:r>
        <w:rPr>
          <w:rFonts w:hint="eastAsia" w:ascii="仿宋_GB2312" w:hAnsi="Times New Roman" w:eastAsia="仿宋_GB2312" w:cs="宋体"/>
          <w:kern w:val="0"/>
          <w:sz w:val="32"/>
          <w:szCs w:val="32"/>
          <w:highlight w:val="none"/>
          <w:lang w:val="en-US" w:eastAsia="zh-CN" w:bidi="ar"/>
        </w:rPr>
        <w:t>其中</w:t>
      </w:r>
      <w:bookmarkStart w:id="0" w:name="OLE_LINK3"/>
      <w:r>
        <w:rPr>
          <w:rFonts w:hint="eastAsia" w:ascii="仿宋_GB2312" w:hAnsi="Times New Roman" w:eastAsia="仿宋_GB2312" w:cs="宋体"/>
          <w:kern w:val="0"/>
          <w:sz w:val="32"/>
          <w:szCs w:val="32"/>
          <w:highlight w:val="none"/>
          <w:lang w:val="en-US" w:eastAsia="zh-CN" w:bidi="ar"/>
        </w:rPr>
        <w:t>工程材料智能化检测实验室</w:t>
      </w:r>
      <w:bookmarkEnd w:id="0"/>
      <w:r>
        <w:rPr>
          <w:rFonts w:hint="eastAsia" w:ascii="仿宋_GB2312" w:hAnsi="Times New Roman" w:eastAsia="仿宋_GB2312" w:cs="宋体"/>
          <w:kern w:val="0"/>
          <w:sz w:val="32"/>
          <w:szCs w:val="32"/>
          <w:highlight w:val="none"/>
          <w:lang w:val="en-US" w:eastAsia="zh-CN" w:bidi="ar"/>
        </w:rPr>
        <w:t>主要对工程材料进行检测实验，</w:t>
      </w:r>
      <w:r>
        <w:rPr>
          <w:rFonts w:hint="eastAsia" w:ascii="仿宋_GB2312" w:hAnsi="Times New Roman" w:eastAsia="仿宋_GB2312" w:cs="宋体"/>
          <w:color w:val="auto"/>
          <w:kern w:val="0"/>
          <w:sz w:val="32"/>
          <w:szCs w:val="32"/>
          <w:highlight w:val="none"/>
          <w:u w:val="none"/>
          <w:lang w:val="en-US" w:eastAsia="zh-CN" w:bidi="ar"/>
        </w:rPr>
        <w:t>其他实验室不开展实验。</w:t>
      </w:r>
      <w:r>
        <w:rPr>
          <w:rFonts w:hint="eastAsia" w:ascii="仿宋_GB2312" w:hAnsi="Times New Roman" w:eastAsia="仿宋_GB2312" w:cs="宋体"/>
          <w:kern w:val="0"/>
          <w:sz w:val="32"/>
          <w:szCs w:val="32"/>
          <w:highlight w:val="none"/>
          <w:lang w:val="en-US" w:eastAsia="zh-CN" w:bidi="ar"/>
        </w:rPr>
        <w:t>项目建筑面积19342m</w:t>
      </w:r>
      <w:r>
        <w:rPr>
          <w:rFonts w:hint="eastAsia" w:ascii="仿宋_GB2312" w:hAnsi="Times New Roman" w:eastAsia="仿宋_GB2312" w:cs="宋体"/>
          <w:kern w:val="0"/>
          <w:sz w:val="32"/>
          <w:szCs w:val="32"/>
          <w:highlight w:val="none"/>
          <w:vertAlign w:val="superscript"/>
          <w:lang w:val="en-US" w:eastAsia="zh-CN" w:bidi="ar"/>
        </w:rPr>
        <w:t>2</w:t>
      </w:r>
      <w:r>
        <w:rPr>
          <w:rFonts w:hint="eastAsia" w:ascii="仿宋_GB2312" w:hAnsi="Times New Roman" w:eastAsia="仿宋_GB2312" w:cs="宋体"/>
          <w:kern w:val="0"/>
          <w:sz w:val="32"/>
          <w:szCs w:val="32"/>
          <w:highlight w:val="none"/>
          <w:lang w:val="en-US" w:eastAsia="zh-CN" w:bidi="ar"/>
        </w:rPr>
        <w:t>。根据《报告表》评价结论，该项目建设符合生态环境保护相关法律法规和政策，符合生态环境分区管控要求，在严格落实《报告表》提出的各项生态环境保护和环境风险防控措施，加强环境管理的前提下，从环境影响角度分析，项目建设可行。我局原则同意《报告表》中所列建设项目的性质、规模、地点、工艺和拟采取的环境保护对策措施。</w:t>
      </w:r>
    </w:p>
    <w:p w14:paraId="0FD843BD">
      <w:pPr>
        <w:keepNext w:val="0"/>
        <w:keepLines w:val="0"/>
        <w:widowControl w:val="0"/>
        <w:numPr>
          <w:ilvl w:val="0"/>
          <w:numId w:val="1"/>
        </w:numPr>
        <w:suppressLineNumbers w:val="0"/>
        <w:snapToGrid w:val="0"/>
        <w:spacing w:before="0" w:beforeAutospacing="0" w:after="0" w:afterAutospacing="0" w:line="360" w:lineRule="auto"/>
        <w:ind w:left="0" w:leftChars="0" w:right="0" w:rightChars="0" w:firstLine="624" w:firstLineChars="195"/>
        <w:jc w:val="both"/>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项目在施工和运营中应认真落实《报告表》提出的各项环境保护措施，并重点做好以下工作：</w:t>
      </w:r>
    </w:p>
    <w:p w14:paraId="3A0F2E68">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加强废气源头管控和全过程收集处理，确保各类工艺废气的收集和处理效率达到《报告表》设计要求。晋安部分不产生实验废气。闽侯部分通过实验室换风系统无组织排放，实验室排放废气经通风橱收集后通过排气筒引至屋顶排放，燃烧废气经低氮燃烧技术后通过排气筒引至屋顶排放，其中非甲烷总烃、沥青烟、氯化氢、硫酸雾有组织排放执行《</w:t>
      </w:r>
      <w:bookmarkStart w:id="1" w:name="OLE_LINK1"/>
      <w:r>
        <w:rPr>
          <w:rFonts w:hint="eastAsia" w:ascii="仿宋_GB2312" w:hAnsi="Times New Roman" w:eastAsia="仿宋_GB2312" w:cs="宋体"/>
          <w:kern w:val="0"/>
          <w:sz w:val="32"/>
          <w:szCs w:val="32"/>
          <w:highlight w:val="none"/>
          <w:lang w:val="en-US" w:eastAsia="zh-CN" w:bidi="ar"/>
        </w:rPr>
        <w:t>大气污染物综合排放标准</w:t>
      </w:r>
      <w:bookmarkEnd w:id="1"/>
      <w:r>
        <w:rPr>
          <w:rFonts w:hint="eastAsia" w:ascii="仿宋_GB2312" w:hAnsi="Times New Roman" w:eastAsia="仿宋_GB2312" w:cs="宋体"/>
          <w:kern w:val="0"/>
          <w:sz w:val="32"/>
          <w:szCs w:val="32"/>
          <w:highlight w:val="none"/>
          <w:lang w:val="en-US" w:eastAsia="zh-CN" w:bidi="ar"/>
        </w:rPr>
        <w:t>》（GB16297-1996）表2二级标准限值，颗粒物、二氧化硫、氮氧化物、烟气黑度有组织排放执行《锅炉大气污染物排放标准》（GB13271-2014）表3大气污染物特别排放限值，厂区内非甲烷总烃执行《挥发性有机物无组织排放控制标准》（GB37822-2019）表A.1中的特别排放限值，厂界非甲烷总烃、颗粒物、氯化氢、</w:t>
      </w:r>
      <w:r>
        <w:rPr>
          <w:rFonts w:hint="eastAsia" w:ascii="仿宋_GB2312" w:hAnsi="Times New Roman" w:eastAsia="仿宋_GB2312" w:cs="宋体"/>
          <w:color w:val="auto"/>
          <w:kern w:val="0"/>
          <w:sz w:val="32"/>
          <w:szCs w:val="32"/>
          <w:highlight w:val="none"/>
          <w:lang w:val="en-US" w:eastAsia="zh-CN" w:bidi="ar"/>
        </w:rPr>
        <w:t>硫酸雾、沥青烟执行</w:t>
      </w:r>
      <w:r>
        <w:rPr>
          <w:rFonts w:hint="eastAsia" w:ascii="仿宋_GB2312" w:hAnsi="Times New Roman" w:eastAsia="仿宋_GB2312" w:cs="宋体"/>
          <w:kern w:val="0"/>
          <w:sz w:val="32"/>
          <w:szCs w:val="32"/>
          <w:highlight w:val="none"/>
          <w:lang w:val="en-US" w:eastAsia="zh-CN" w:bidi="ar"/>
        </w:rPr>
        <w:t>《大气污染物综合排放标准》（GB16297-1996）表2中的无组织排放监控浓度限值。</w:t>
      </w:r>
    </w:p>
    <w:p w14:paraId="41CC4DE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（二）晋安部分不产生实验废水，生活污水经化粪池预处理达到《污水综合排放标准》(GB8978-1996)表4中三级排放标准，排入市政污水管网，接至洋里污水处理厂处理。闽侯部分</w:t>
      </w:r>
      <w:bookmarkStart w:id="5" w:name="_GoBack"/>
      <w:bookmarkEnd w:id="5"/>
      <w:r>
        <w:rPr>
          <w:rFonts w:hint="eastAsia" w:ascii="仿宋_GB2312" w:hAnsi="Times New Roman" w:eastAsia="仿宋_GB2312" w:cs="宋体"/>
          <w:kern w:val="0"/>
          <w:sz w:val="32"/>
          <w:szCs w:val="32"/>
          <w:highlight w:val="none"/>
          <w:lang w:val="en-US" w:eastAsia="zh-CN" w:bidi="ar"/>
        </w:rPr>
        <w:t>生产废水（实验器皿前两次清洗废水）委托有危废处置资质的单位进行处置，其余生产废水经酸碱中和及沉淀后和生活污水经化粪池处理达到《污水综合排放标准》（GB8978-1996）表4三级排放浓度限值，排放福州青口新区环境工程（污水处理厂）处理。</w:t>
      </w:r>
    </w:p>
    <w:p w14:paraId="1B26E99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640" w:firstLineChars="200"/>
        <w:jc w:val="both"/>
        <w:textAlignment w:val="auto"/>
        <w:rPr>
          <w:rFonts w:hint="default" w:ascii="仿宋_GB2312" w:hAnsi="Times New Roman" w:eastAsia="仿宋_GB2312" w:cs="宋体"/>
          <w:color w:val="FF0000"/>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（三）项目应选用低噪声设备，对高噪声设备采取减振、隔声、降噪措施，</w:t>
      </w:r>
      <w:r>
        <w:rPr>
          <w:rFonts w:hint="default" w:ascii="仿宋_GB2312" w:hAnsi="Times New Roman" w:eastAsia="仿宋_GB2312" w:cs="宋体"/>
          <w:kern w:val="0"/>
          <w:sz w:val="32"/>
          <w:szCs w:val="32"/>
          <w:highlight w:val="none"/>
          <w:lang w:val="en-US" w:eastAsia="zh-CN" w:bidi="ar"/>
        </w:rPr>
        <w:t>厂界噪声</w:t>
      </w:r>
      <w:r>
        <w:rPr>
          <w:rFonts w:hint="eastAsia" w:ascii="仿宋_GB2312" w:hAnsi="Times New Roman" w:eastAsia="仿宋_GB2312" w:cs="宋体"/>
          <w:kern w:val="0"/>
          <w:sz w:val="32"/>
          <w:szCs w:val="32"/>
          <w:highlight w:val="none"/>
          <w:lang w:val="en-US" w:eastAsia="zh-CN" w:bidi="ar"/>
        </w:rPr>
        <w:t>执行</w:t>
      </w:r>
      <w:r>
        <w:rPr>
          <w:rFonts w:hint="default" w:ascii="仿宋_GB2312" w:hAnsi="Times New Roman" w:eastAsia="仿宋_GB2312" w:cs="宋体"/>
          <w:kern w:val="0"/>
          <w:sz w:val="32"/>
          <w:szCs w:val="32"/>
          <w:highlight w:val="none"/>
          <w:lang w:val="en-US" w:eastAsia="zh-CN" w:bidi="ar"/>
        </w:rPr>
        <w:t>《</w:t>
      </w:r>
      <w:bookmarkStart w:id="2" w:name="OLE_LINK4"/>
      <w:r>
        <w:rPr>
          <w:rFonts w:hint="default" w:ascii="仿宋_GB2312" w:hAnsi="Times New Roman" w:eastAsia="仿宋_GB2312" w:cs="宋体"/>
          <w:kern w:val="0"/>
          <w:sz w:val="32"/>
          <w:szCs w:val="32"/>
          <w:highlight w:val="none"/>
          <w:lang w:val="en-US" w:eastAsia="zh-CN" w:bidi="ar"/>
        </w:rPr>
        <w:t>工业企业厂界环境噪声排放标准</w:t>
      </w:r>
      <w:bookmarkEnd w:id="2"/>
      <w:r>
        <w:rPr>
          <w:rFonts w:hint="default" w:ascii="仿宋_GB2312" w:hAnsi="Times New Roman" w:eastAsia="仿宋_GB2312" w:cs="宋体"/>
          <w:kern w:val="0"/>
          <w:sz w:val="32"/>
          <w:szCs w:val="32"/>
          <w:highlight w:val="none"/>
          <w:lang w:val="en-US" w:eastAsia="zh-CN" w:bidi="ar"/>
        </w:rPr>
        <w:t>》</w:t>
      </w:r>
      <w:r>
        <w:rPr>
          <w:rFonts w:hint="eastAsia" w:ascii="仿宋_GB2312" w:hAnsi="Times New Roman" w:eastAsia="仿宋_GB2312" w:cs="宋体"/>
          <w:kern w:val="0"/>
          <w:sz w:val="32"/>
          <w:szCs w:val="32"/>
          <w:highlight w:val="none"/>
          <w:lang w:val="en-US" w:eastAsia="zh-CN" w:bidi="ar"/>
        </w:rPr>
        <w:t>（</w:t>
      </w:r>
      <w:r>
        <w:rPr>
          <w:rFonts w:hint="default" w:ascii="仿宋_GB2312" w:hAnsi="Times New Roman" w:eastAsia="仿宋_GB2312" w:cs="宋体"/>
          <w:kern w:val="0"/>
          <w:sz w:val="32"/>
          <w:szCs w:val="32"/>
          <w:highlight w:val="none"/>
          <w:lang w:val="en-US" w:eastAsia="zh-CN" w:bidi="ar"/>
        </w:rPr>
        <w:t>GB12348-2008</w:t>
      </w:r>
      <w:r>
        <w:rPr>
          <w:rFonts w:hint="eastAsia" w:ascii="仿宋_GB2312" w:hAnsi="Times New Roman" w:eastAsia="仿宋_GB2312" w:cs="宋体"/>
          <w:kern w:val="0"/>
          <w:sz w:val="32"/>
          <w:szCs w:val="32"/>
          <w:highlight w:val="none"/>
          <w:lang w:val="en-US" w:eastAsia="zh-CN" w:bidi="ar"/>
        </w:rPr>
        <w:t>）</w:t>
      </w:r>
      <w:r>
        <w:rPr>
          <w:rFonts w:hint="default" w:ascii="仿宋_GB2312" w:hAnsi="Times New Roman" w:eastAsia="仿宋_GB2312" w:cs="宋体"/>
          <w:kern w:val="0"/>
          <w:sz w:val="32"/>
          <w:szCs w:val="32"/>
          <w:highlight w:val="none"/>
          <w:lang w:val="en-US" w:eastAsia="zh-CN" w:bidi="ar"/>
        </w:rPr>
        <w:t>中</w:t>
      </w:r>
      <w:r>
        <w:rPr>
          <w:rFonts w:hint="default" w:ascii="仿宋_GB2312" w:hAnsi="Times New Roman" w:eastAsia="仿宋_GB2312" w:cs="宋体"/>
          <w:color w:val="auto"/>
          <w:kern w:val="0"/>
          <w:sz w:val="32"/>
          <w:szCs w:val="32"/>
          <w:highlight w:val="none"/>
          <w:lang w:val="en-US" w:eastAsia="zh-CN" w:bidi="ar"/>
        </w:rPr>
        <w:t>表1</w:t>
      </w:r>
      <w:r>
        <w:rPr>
          <w:rFonts w:hint="eastAsia" w:ascii="仿宋_GB2312" w:hAnsi="Times New Roman" w:eastAsia="仿宋_GB2312" w:cs="宋体"/>
          <w:color w:val="auto"/>
          <w:kern w:val="0"/>
          <w:sz w:val="32"/>
          <w:szCs w:val="32"/>
          <w:highlight w:val="none"/>
          <w:lang w:val="en-US" w:eastAsia="zh-CN" w:bidi="ar"/>
        </w:rPr>
        <w:t>中3</w:t>
      </w:r>
      <w:r>
        <w:rPr>
          <w:rFonts w:hint="default" w:ascii="仿宋_GB2312" w:hAnsi="Times New Roman" w:eastAsia="仿宋_GB2312" w:cs="宋体"/>
          <w:color w:val="auto"/>
          <w:kern w:val="0"/>
          <w:sz w:val="32"/>
          <w:szCs w:val="32"/>
          <w:highlight w:val="none"/>
          <w:lang w:val="en-US" w:eastAsia="zh-CN" w:bidi="ar"/>
        </w:rPr>
        <w:t>类排放限值。</w:t>
      </w:r>
    </w:p>
    <w:p w14:paraId="02744AF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四）固体废物应实施分类收集、贮存、处理和处置，并按规范建设固体废物贮存场所及建立固体废物管理台账，加强全过程规范化管理。晋安部分不产生危险废物，闽侯部分产生的废活性炭、废试剂及试剂瓶等危险废物委托有资质单位收集处置。危险废物贮存执行《危险废物贮存污染控制标准》（GB18597-2023）要求，转移管理执行《危险废物转移管理办法》（部令第23号）相关规定。一般工业固体废物应综合利用妥善处置。</w:t>
      </w:r>
    </w:p>
    <w:p w14:paraId="5A66EF4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三、项目建成后允许主要污染物</w:t>
      </w:r>
      <w:bookmarkStart w:id="3" w:name="OLE_LINK5"/>
      <w:r>
        <w:rPr>
          <w:rFonts w:hint="eastAsia" w:ascii="仿宋_GB2312" w:hAnsi="Times New Roman" w:eastAsia="仿宋_GB2312" w:cs="宋体"/>
          <w:kern w:val="0"/>
          <w:sz w:val="32"/>
          <w:szCs w:val="32"/>
          <w:highlight w:val="none"/>
          <w:lang w:val="en-US" w:eastAsia="zh-CN" w:bidi="ar"/>
        </w:rPr>
        <w:t>排放总量</w:t>
      </w:r>
      <w:bookmarkEnd w:id="3"/>
      <w:r>
        <w:rPr>
          <w:rFonts w:hint="eastAsia" w:ascii="仿宋_GB2312" w:hAnsi="Times New Roman" w:eastAsia="仿宋_GB2312" w:cs="宋体"/>
          <w:kern w:val="0"/>
          <w:sz w:val="32"/>
          <w:szCs w:val="32"/>
          <w:highlight w:val="none"/>
          <w:lang w:val="en-US" w:eastAsia="zh-CN" w:bidi="ar"/>
        </w:rPr>
        <w:t>控制要求：二氧化硫排放总量≤0.00095吨/年，氮氧化物排放总量≤0.004125吨/年，VOCs（以非甲烷总烃计）排放总量≤0.1126吨/年，</w:t>
      </w:r>
      <w:bookmarkStart w:id="4" w:name="OLE_LINK2"/>
      <w:r>
        <w:rPr>
          <w:rFonts w:hint="eastAsia" w:ascii="仿宋_GB2312" w:hAnsi="Times New Roman" w:eastAsia="仿宋_GB2312" w:cs="宋体"/>
          <w:kern w:val="0"/>
          <w:sz w:val="32"/>
          <w:szCs w:val="32"/>
          <w:highlight w:val="none"/>
          <w:lang w:val="en-US" w:eastAsia="zh-CN" w:bidi="ar"/>
        </w:rPr>
        <w:t>项目投产前应按照规定取得所需的总量指标。</w:t>
      </w:r>
    </w:p>
    <w:bookmarkEnd w:id="4"/>
    <w:p w14:paraId="2582EC3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四、《报告表》批准后，如建设项目的性质、规模、地点、采用的生产工艺或者防治污染、防止生态破坏的措施发生重大变动的，应当依法重新报批项目环评。《报告表》自批准之日起满5年，项目方开工建设的，其环评文件应当依法报我局重新审核。</w:t>
      </w:r>
    </w:p>
    <w:p w14:paraId="12858DD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五、项目建设应严格执行环境保护“三同时”制度，投入生产并产生实际排污行为之前，你司应认真梳理并确认各项环境保护措施落实，依法申领排污许可证并按证排污。项目投入生产后，应依法组织开展竣工环保自主验收。</w:t>
      </w:r>
    </w:p>
    <w:p w14:paraId="73D4CF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640" w:firstLineChars="200"/>
        <w:jc w:val="both"/>
        <w:textAlignment w:val="auto"/>
        <w:rPr>
          <w:rFonts w:hint="default" w:ascii="仿宋_GB2312" w:eastAsia="仿宋_GB2312" w:cs="仿宋_GB2312"/>
          <w:highlight w:val="none"/>
          <w:lang w:val="en-US" w:eastAsia="zh-CN"/>
        </w:rPr>
      </w:pPr>
      <w:r>
        <w:rPr>
          <w:rFonts w:hint="eastAsia" w:ascii="仿宋_GB2312" w:hAnsi="Times New Roman" w:eastAsia="仿宋_GB2312" w:cs="宋体"/>
          <w:kern w:val="0"/>
          <w:sz w:val="32"/>
          <w:szCs w:val="32"/>
          <w:highlight w:val="none"/>
          <w:lang w:val="en-US" w:eastAsia="zh-CN" w:bidi="ar"/>
        </w:rPr>
        <w:t>六、我局委托福州市生态环境保护综合执法支队开展该项目环保“三同时”监督检查，由福州市晋安生态环境局和福州市闽侯生态环境局负责该项目日常环保监督管理工作。</w:t>
      </w:r>
    </w:p>
    <w:p w14:paraId="6926324C">
      <w:pPr>
        <w:pStyle w:val="8"/>
        <w:widowControl/>
        <w:snapToGrid w:val="0"/>
        <w:spacing w:line="360" w:lineRule="auto"/>
        <w:ind w:right="1170" w:rightChars="557"/>
        <w:jc w:val="right"/>
        <w:rPr>
          <w:rFonts w:hint="eastAsia" w:ascii="仿宋_GB2312" w:eastAsia="仿宋_GB2312" w:cs="仿宋_GB2312"/>
          <w:highlight w:val="none"/>
          <w:lang w:eastAsia="zh-CN"/>
        </w:rPr>
      </w:pPr>
    </w:p>
    <w:p w14:paraId="2049FD50">
      <w:pPr>
        <w:pStyle w:val="8"/>
        <w:widowControl/>
        <w:snapToGrid w:val="0"/>
        <w:spacing w:line="600" w:lineRule="exact"/>
        <w:ind w:right="1170" w:rightChars="557"/>
        <w:jc w:val="right"/>
        <w:rPr>
          <w:rFonts w:hint="eastAsia" w:ascii="仿宋_GB2312" w:eastAsia="仿宋_GB2312" w:cs="仿宋_GB2312"/>
          <w:highlight w:val="none"/>
          <w:lang w:val="en-US"/>
        </w:rPr>
      </w:pPr>
      <w:r>
        <w:rPr>
          <w:rFonts w:hint="eastAsia" w:ascii="仿宋_GB2312" w:eastAsia="仿宋_GB2312" w:cs="仿宋_GB2312"/>
          <w:highlight w:val="none"/>
          <w:lang w:eastAsia="zh-CN"/>
        </w:rPr>
        <w:t>福州市生态环境局</w:t>
      </w:r>
    </w:p>
    <w:p w14:paraId="32AA6A93">
      <w:pPr>
        <w:pStyle w:val="8"/>
        <w:widowControl/>
        <w:snapToGrid w:val="0"/>
        <w:spacing w:line="600" w:lineRule="exact"/>
        <w:ind w:right="1170" w:rightChars="557"/>
        <w:jc w:val="right"/>
        <w:rPr>
          <w:rFonts w:hint="eastAsia" w:ascii="仿宋_GB2312" w:eastAsia="仿宋_GB2312" w:cs="仿宋_GB2312"/>
          <w:highlight w:val="none"/>
          <w:lang w:eastAsia="zh-CN"/>
        </w:rPr>
      </w:pPr>
      <w:r>
        <w:rPr>
          <w:rFonts w:hint="eastAsia" w:ascii="仿宋_GB2312" w:eastAsia="仿宋_GB2312" w:cs="仿宋_GB2312"/>
          <w:highlight w:val="none"/>
          <w:lang w:val="en-US"/>
        </w:rPr>
        <w:t>20</w:t>
      </w:r>
      <w:r>
        <w:rPr>
          <w:rFonts w:hint="eastAsia" w:ascii="仿宋_GB2312" w:eastAsia="仿宋_GB2312" w:cs="仿宋_GB2312"/>
          <w:highlight w:val="none"/>
          <w:lang w:val="en-US" w:eastAsia="zh-CN"/>
        </w:rPr>
        <w:t>26</w:t>
      </w:r>
      <w:r>
        <w:rPr>
          <w:rFonts w:hint="eastAsia" w:ascii="仿宋_GB2312" w:eastAsia="仿宋_GB2312" w:cs="仿宋_GB2312"/>
          <w:highlight w:val="none"/>
          <w:lang w:eastAsia="zh-CN"/>
        </w:rPr>
        <w:t>年</w:t>
      </w:r>
      <w:r>
        <w:rPr>
          <w:rFonts w:hint="eastAsia" w:ascii="仿宋_GB2312" w:eastAsia="仿宋_GB2312" w:cs="仿宋_GB2312"/>
          <w:highlight w:val="none"/>
          <w:lang w:val="en-US" w:eastAsia="zh-CN"/>
        </w:rPr>
        <w:t>4</w:t>
      </w:r>
      <w:r>
        <w:rPr>
          <w:rFonts w:hint="eastAsia" w:ascii="仿宋_GB2312" w:eastAsia="仿宋_GB2312" w:cs="仿宋_GB2312"/>
          <w:highlight w:val="none"/>
          <w:lang w:eastAsia="zh-CN"/>
        </w:rPr>
        <w:t>月</w:t>
      </w:r>
      <w:r>
        <w:rPr>
          <w:rFonts w:hint="eastAsia" w:ascii="仿宋_GB2312" w:eastAsia="仿宋_GB2312" w:cs="仿宋_GB2312"/>
          <w:highlight w:val="none"/>
          <w:lang w:val="en-US" w:eastAsia="zh-CN"/>
        </w:rPr>
        <w:t>30</w:t>
      </w:r>
      <w:r>
        <w:rPr>
          <w:rFonts w:hint="eastAsia" w:ascii="仿宋_GB2312" w:eastAsia="仿宋_GB2312" w:cs="仿宋_GB2312"/>
          <w:highlight w:val="none"/>
          <w:lang w:eastAsia="zh-CN"/>
        </w:rPr>
        <w:t>日</w:t>
      </w:r>
    </w:p>
    <w:p w14:paraId="1CF1307A">
      <w:pPr>
        <w:rPr>
          <w:rFonts w:hint="eastAsia" w:ascii="仿宋_GB2312" w:eastAsia="仿宋_GB2312" w:cs="仿宋_GB2312"/>
          <w:highlight w:val="none"/>
          <w:lang w:eastAsia="zh-CN"/>
        </w:rPr>
      </w:pPr>
    </w:p>
    <w:p w14:paraId="41449E49">
      <w:pPr>
        <w:pStyle w:val="2"/>
        <w:rPr>
          <w:rFonts w:hint="eastAsia" w:ascii="仿宋_GB2312" w:eastAsia="仿宋_GB2312" w:cs="仿宋_GB2312"/>
          <w:highlight w:val="none"/>
          <w:lang w:eastAsia="zh-CN"/>
        </w:rPr>
      </w:pPr>
    </w:p>
    <w:p w14:paraId="6EB78016">
      <w:pPr>
        <w:pStyle w:val="3"/>
        <w:rPr>
          <w:rFonts w:hint="eastAsia" w:ascii="仿宋_GB2312" w:eastAsia="仿宋_GB2312" w:cs="仿宋_GB2312"/>
          <w:highlight w:val="none"/>
          <w:lang w:eastAsia="zh-CN"/>
        </w:rPr>
      </w:pPr>
    </w:p>
    <w:p w14:paraId="382D9073">
      <w:pPr>
        <w:rPr>
          <w:rFonts w:hint="eastAsia" w:ascii="仿宋_GB2312" w:eastAsia="仿宋_GB2312" w:cs="仿宋_GB2312"/>
          <w:highlight w:val="none"/>
          <w:lang w:eastAsia="zh-CN"/>
        </w:rPr>
      </w:pPr>
    </w:p>
    <w:p w14:paraId="792E22E6">
      <w:pPr>
        <w:pStyle w:val="2"/>
        <w:rPr>
          <w:rFonts w:hint="eastAsia" w:ascii="仿宋_GB2312" w:eastAsia="仿宋_GB2312" w:cs="仿宋_GB2312"/>
          <w:highlight w:val="none"/>
          <w:lang w:eastAsia="zh-CN"/>
        </w:rPr>
      </w:pPr>
    </w:p>
    <w:p w14:paraId="004D5753">
      <w:pPr>
        <w:pStyle w:val="3"/>
        <w:rPr>
          <w:rFonts w:hint="eastAsia" w:ascii="仿宋_GB2312" w:eastAsia="仿宋_GB2312" w:cs="仿宋_GB2312"/>
          <w:highlight w:val="none"/>
          <w:lang w:eastAsia="zh-CN"/>
        </w:rPr>
      </w:pPr>
    </w:p>
    <w:p w14:paraId="73F17A01">
      <w:pPr>
        <w:rPr>
          <w:rFonts w:hint="eastAsia" w:ascii="仿宋_GB2312" w:eastAsia="仿宋_GB2312" w:cs="仿宋_GB2312"/>
          <w:highlight w:val="none"/>
          <w:lang w:eastAsia="zh-CN"/>
        </w:rPr>
      </w:pPr>
    </w:p>
    <w:p w14:paraId="0802F428">
      <w:pPr>
        <w:pStyle w:val="2"/>
        <w:rPr>
          <w:rFonts w:hint="eastAsia" w:ascii="仿宋_GB2312" w:eastAsia="仿宋_GB2312" w:cs="仿宋_GB2312"/>
          <w:highlight w:val="none"/>
          <w:lang w:eastAsia="zh-CN"/>
        </w:rPr>
      </w:pPr>
    </w:p>
    <w:p w14:paraId="64B13138">
      <w:pPr>
        <w:pStyle w:val="3"/>
        <w:rPr>
          <w:rFonts w:hint="eastAsia" w:ascii="仿宋_GB2312" w:eastAsia="仿宋_GB2312" w:cs="仿宋_GB2312"/>
          <w:highlight w:val="none"/>
          <w:lang w:eastAsia="zh-CN"/>
        </w:rPr>
      </w:pPr>
    </w:p>
    <w:p w14:paraId="12F1DC32">
      <w:pPr>
        <w:rPr>
          <w:rFonts w:hint="eastAsia" w:ascii="仿宋_GB2312" w:eastAsia="仿宋_GB2312" w:cs="仿宋_GB2312"/>
          <w:highlight w:val="none"/>
          <w:lang w:eastAsia="zh-CN"/>
        </w:rPr>
      </w:pPr>
    </w:p>
    <w:p w14:paraId="47D2BD89">
      <w:pPr>
        <w:pStyle w:val="2"/>
        <w:rPr>
          <w:rFonts w:hint="eastAsia" w:ascii="仿宋_GB2312" w:eastAsia="仿宋_GB2312" w:cs="仿宋_GB2312"/>
          <w:highlight w:val="none"/>
          <w:lang w:eastAsia="zh-CN"/>
        </w:rPr>
      </w:pPr>
    </w:p>
    <w:p w14:paraId="34112E36">
      <w:pPr>
        <w:pStyle w:val="3"/>
        <w:rPr>
          <w:rFonts w:hint="eastAsia" w:ascii="仿宋_GB2312" w:eastAsia="仿宋_GB2312" w:cs="仿宋_GB2312"/>
          <w:highlight w:val="none"/>
          <w:lang w:eastAsia="zh-CN"/>
        </w:rPr>
      </w:pPr>
    </w:p>
    <w:p w14:paraId="39F88F5D">
      <w:pPr>
        <w:rPr>
          <w:rFonts w:hint="eastAsia" w:ascii="仿宋_GB2312" w:eastAsia="仿宋_GB2312" w:cs="仿宋_GB2312"/>
          <w:highlight w:val="none"/>
          <w:lang w:eastAsia="zh-CN"/>
        </w:rPr>
      </w:pPr>
    </w:p>
    <w:p w14:paraId="432F0FC0">
      <w:pPr>
        <w:pStyle w:val="2"/>
        <w:rPr>
          <w:rFonts w:hint="eastAsia" w:ascii="仿宋_GB2312" w:eastAsia="仿宋_GB2312" w:cs="仿宋_GB2312"/>
          <w:highlight w:val="none"/>
          <w:lang w:eastAsia="zh-CN"/>
        </w:rPr>
      </w:pPr>
    </w:p>
    <w:p w14:paraId="4F24E07D">
      <w:pPr>
        <w:pStyle w:val="3"/>
        <w:rPr>
          <w:rFonts w:hint="eastAsia" w:ascii="仿宋_GB2312" w:eastAsia="仿宋_GB2312" w:cs="仿宋_GB2312"/>
          <w:highlight w:val="none"/>
          <w:lang w:eastAsia="zh-CN"/>
        </w:rPr>
      </w:pPr>
    </w:p>
    <w:p w14:paraId="59F4E3E8">
      <w:pPr>
        <w:rPr>
          <w:rFonts w:hint="eastAsia" w:ascii="仿宋_GB2312" w:eastAsia="仿宋_GB2312" w:cs="仿宋_GB2312"/>
          <w:highlight w:val="none"/>
          <w:lang w:eastAsia="zh-CN"/>
        </w:rPr>
      </w:pPr>
    </w:p>
    <w:p w14:paraId="5BFB4304">
      <w:pPr>
        <w:pStyle w:val="2"/>
        <w:rPr>
          <w:rFonts w:hint="eastAsia" w:ascii="仿宋_GB2312" w:eastAsia="仿宋_GB2312" w:cs="仿宋_GB2312"/>
          <w:highlight w:val="none"/>
          <w:lang w:eastAsia="zh-CN"/>
        </w:rPr>
      </w:pPr>
    </w:p>
    <w:p w14:paraId="43897482">
      <w:pPr>
        <w:pStyle w:val="3"/>
        <w:rPr>
          <w:rFonts w:hint="eastAsia" w:ascii="仿宋_GB2312" w:eastAsia="仿宋_GB2312" w:cs="仿宋_GB2312"/>
          <w:highlight w:val="none"/>
          <w:lang w:eastAsia="zh-CN"/>
        </w:rPr>
      </w:pPr>
    </w:p>
    <w:p w14:paraId="3C4AF9B5">
      <w:pPr>
        <w:rPr>
          <w:rFonts w:hint="eastAsia" w:ascii="仿宋_GB2312" w:eastAsia="仿宋_GB2312" w:cs="仿宋_GB2312"/>
          <w:highlight w:val="none"/>
          <w:lang w:eastAsia="zh-CN"/>
        </w:rPr>
      </w:pPr>
    </w:p>
    <w:p w14:paraId="33151630">
      <w:pPr>
        <w:pStyle w:val="2"/>
        <w:rPr>
          <w:rFonts w:hint="eastAsia" w:ascii="仿宋_GB2312" w:eastAsia="仿宋_GB2312" w:cs="仿宋_GB2312"/>
          <w:highlight w:val="none"/>
          <w:lang w:eastAsia="zh-CN"/>
        </w:rPr>
      </w:pPr>
    </w:p>
    <w:p w14:paraId="7DDFE06A">
      <w:pPr>
        <w:pStyle w:val="3"/>
        <w:rPr>
          <w:rFonts w:hint="eastAsia" w:ascii="仿宋_GB2312" w:eastAsia="仿宋_GB2312" w:cs="仿宋_GB2312"/>
          <w:highlight w:val="none"/>
          <w:lang w:eastAsia="zh-CN"/>
        </w:rPr>
      </w:pPr>
    </w:p>
    <w:p w14:paraId="129CCF7F">
      <w:pPr>
        <w:rPr>
          <w:rFonts w:hint="eastAsia" w:ascii="仿宋_GB2312" w:eastAsia="仿宋_GB2312" w:cs="仿宋_GB2312"/>
          <w:highlight w:val="none"/>
          <w:lang w:eastAsia="zh-CN"/>
        </w:rPr>
      </w:pPr>
    </w:p>
    <w:p w14:paraId="65B97286">
      <w:pPr>
        <w:pStyle w:val="2"/>
        <w:rPr>
          <w:rFonts w:hint="eastAsia" w:ascii="仿宋_GB2312" w:eastAsia="仿宋_GB2312" w:cs="仿宋_GB2312"/>
          <w:highlight w:val="none"/>
          <w:lang w:eastAsia="zh-CN"/>
        </w:rPr>
      </w:pPr>
    </w:p>
    <w:p w14:paraId="3B9FF355">
      <w:pPr>
        <w:pStyle w:val="3"/>
        <w:rPr>
          <w:rFonts w:hint="eastAsia" w:ascii="仿宋_GB2312" w:eastAsia="仿宋_GB2312" w:cs="仿宋_GB2312"/>
          <w:highlight w:val="none"/>
          <w:lang w:eastAsia="zh-CN"/>
        </w:rPr>
      </w:pPr>
    </w:p>
    <w:p w14:paraId="79BBD871">
      <w:pPr>
        <w:rPr>
          <w:rFonts w:hint="eastAsia" w:ascii="仿宋_GB2312" w:eastAsia="仿宋_GB2312" w:cs="仿宋_GB2312"/>
          <w:highlight w:val="none"/>
          <w:lang w:eastAsia="zh-CN"/>
        </w:rPr>
      </w:pPr>
    </w:p>
    <w:p w14:paraId="3D33C3F0">
      <w:pPr>
        <w:pStyle w:val="2"/>
        <w:rPr>
          <w:rFonts w:hint="eastAsia" w:ascii="仿宋_GB2312" w:eastAsia="仿宋_GB2312" w:cs="仿宋_GB2312"/>
          <w:highlight w:val="none"/>
          <w:lang w:eastAsia="zh-CN"/>
        </w:rPr>
      </w:pPr>
    </w:p>
    <w:p w14:paraId="2D265E57">
      <w:pPr>
        <w:pStyle w:val="3"/>
        <w:rPr>
          <w:rFonts w:hint="eastAsia" w:ascii="仿宋_GB2312" w:eastAsia="仿宋_GB2312" w:cs="仿宋_GB2312"/>
          <w:highlight w:val="none"/>
          <w:lang w:eastAsia="zh-CN"/>
        </w:rPr>
      </w:pPr>
    </w:p>
    <w:p w14:paraId="2FAFFC7A">
      <w:pPr>
        <w:rPr>
          <w:rFonts w:hint="eastAsia" w:ascii="仿宋_GB2312" w:eastAsia="仿宋_GB2312" w:cs="仿宋_GB2312"/>
          <w:highlight w:val="none"/>
          <w:lang w:eastAsia="zh-CN"/>
        </w:rPr>
      </w:pPr>
    </w:p>
    <w:p w14:paraId="1375574D">
      <w:pPr>
        <w:pStyle w:val="2"/>
        <w:rPr>
          <w:rFonts w:hint="eastAsia" w:ascii="仿宋_GB2312" w:eastAsia="仿宋_GB2312" w:cs="仿宋_GB2312"/>
          <w:highlight w:val="none"/>
          <w:lang w:eastAsia="zh-CN"/>
        </w:rPr>
      </w:pPr>
    </w:p>
    <w:p w14:paraId="6BDA8635">
      <w:pPr>
        <w:rPr>
          <w:rFonts w:hint="eastAsia"/>
          <w:lang w:val="en-US" w:eastAsia="zh-CN"/>
        </w:rPr>
      </w:pPr>
    </w:p>
    <w:p w14:paraId="02617DD5">
      <w:pPr>
        <w:keepNext w:val="0"/>
        <w:keepLines w:val="0"/>
        <w:widowControl w:val="0"/>
        <w:suppressLineNumbers w:val="0"/>
        <w:snapToGrid w:val="0"/>
        <w:spacing w:before="0" w:beforeAutospacing="0" w:after="0" w:afterAutospacing="0"/>
        <w:ind w:left="0" w:right="0"/>
        <w:jc w:val="both"/>
        <w:rPr>
          <w:rFonts w:hint="eastAsia" w:ascii="仿宋_GB2312" w:eastAsia="仿宋_GB2312" w:cs="仿宋_GB2312"/>
          <w:highlight w:val="none"/>
          <w:lang w:val="en-US"/>
        </w:rPr>
      </w:pPr>
    </w:p>
    <w:tbl>
      <w:tblPr>
        <w:tblStyle w:val="12"/>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5"/>
        <w:gridCol w:w="3885"/>
        <w:gridCol w:w="3675"/>
      </w:tblGrid>
      <w:tr w14:paraId="2876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155" w:type="dxa"/>
            <w:tcBorders>
              <w:top w:val="single" w:color="auto" w:sz="4" w:space="0"/>
              <w:left w:val="nil"/>
              <w:bottom w:val="single" w:color="auto" w:sz="4" w:space="0"/>
              <w:right w:val="nil"/>
            </w:tcBorders>
            <w:shd w:val="clear" w:color="auto" w:fill="auto"/>
            <w:vAlign w:val="center"/>
          </w:tcPr>
          <w:p w14:paraId="5970A53F">
            <w:pPr>
              <w:keepNext w:val="0"/>
              <w:keepLines w:val="0"/>
              <w:widowControl w:val="0"/>
              <w:suppressLineNumbers w:val="0"/>
              <w:tabs>
                <w:tab w:val="left" w:pos="3885"/>
              </w:tabs>
              <w:spacing w:before="0" w:beforeAutospacing="0" w:after="0" w:afterAutospacing="0"/>
              <w:ind w:left="0" w:right="0" w:firstLine="179" w:firstLineChars="64"/>
              <w:jc w:val="both"/>
              <w:rPr>
                <w:rFonts w:hint="eastAsia" w:ascii="仿宋_GB2312" w:eastAsia="仿宋_GB2312" w:cs="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抄送：</w:t>
            </w:r>
          </w:p>
        </w:tc>
        <w:tc>
          <w:tcPr>
            <w:tcW w:w="7560" w:type="dxa"/>
            <w:gridSpan w:val="2"/>
            <w:tcBorders>
              <w:top w:val="single" w:color="auto" w:sz="4" w:space="0"/>
              <w:left w:val="nil"/>
              <w:bottom w:val="single" w:color="auto" w:sz="4" w:space="0"/>
              <w:right w:val="nil"/>
            </w:tcBorders>
            <w:shd w:val="clear" w:color="auto" w:fill="auto"/>
            <w:vAlign w:val="center"/>
          </w:tcPr>
          <w:p w14:paraId="3E6BBBFE">
            <w:pPr>
              <w:keepNext w:val="0"/>
              <w:keepLines w:val="0"/>
              <w:widowControl w:val="0"/>
              <w:suppressLineNumbers w:val="0"/>
              <w:tabs>
                <w:tab w:val="left" w:pos="3885"/>
              </w:tabs>
              <w:spacing w:before="0" w:beforeAutospacing="0" w:after="0" w:afterAutospacing="0"/>
              <w:ind w:left="0" w:right="0"/>
              <w:jc w:val="both"/>
              <w:rPr>
                <w:rFonts w:hint="eastAsia" w:ascii="仿宋_GB2312" w:eastAsia="仿宋_GB2312" w:cs="仿宋_GB2312"/>
                <w:sz w:val="28"/>
                <w:szCs w:val="28"/>
                <w:highlight w:val="none"/>
                <w:lang w:val="en-US" w:eastAsia="zh-CN"/>
              </w:rPr>
            </w:pPr>
            <w:r>
              <w:rPr>
                <w:rFonts w:hint="eastAsia" w:ascii="仿宋_GB2312" w:hAnsi="Times New Roman" w:eastAsia="仿宋_GB2312" w:cs="仿宋_GB2312"/>
                <w:kern w:val="2"/>
                <w:sz w:val="28"/>
                <w:szCs w:val="20"/>
                <w:highlight w:val="none"/>
                <w:lang w:val="en-US" w:eastAsia="zh-CN" w:bidi="ar"/>
              </w:rPr>
              <w:t>福州市生态环境保护综合执法支队，福州市晋安生态环境局，福州市闽侯生态环境局，福建新时代环保科技有限公司。</w:t>
            </w:r>
          </w:p>
        </w:tc>
      </w:tr>
      <w:tr w14:paraId="5016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1" w:hRule="atLeast"/>
        </w:trPr>
        <w:tc>
          <w:tcPr>
            <w:tcW w:w="5040" w:type="dxa"/>
            <w:gridSpan w:val="2"/>
            <w:tcBorders>
              <w:top w:val="single" w:color="auto" w:sz="4" w:space="0"/>
              <w:left w:val="nil"/>
              <w:bottom w:val="single" w:color="auto" w:sz="4" w:space="0"/>
              <w:right w:val="nil"/>
            </w:tcBorders>
            <w:shd w:val="clear" w:color="auto" w:fill="auto"/>
            <w:vAlign w:val="center"/>
          </w:tcPr>
          <w:p w14:paraId="1E54D389">
            <w:pPr>
              <w:keepNext w:val="0"/>
              <w:keepLines w:val="0"/>
              <w:widowControl w:val="0"/>
              <w:suppressLineNumbers w:val="0"/>
              <w:tabs>
                <w:tab w:val="left" w:pos="3885"/>
              </w:tabs>
              <w:spacing w:before="0" w:beforeAutospacing="0" w:after="0" w:afterAutospacing="0"/>
              <w:ind w:left="0" w:right="0" w:firstLine="179" w:firstLineChars="64"/>
              <w:jc w:val="both"/>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福州市生态环境局</w:t>
            </w:r>
          </w:p>
        </w:tc>
        <w:tc>
          <w:tcPr>
            <w:tcW w:w="3675" w:type="dxa"/>
            <w:tcBorders>
              <w:top w:val="single" w:color="auto" w:sz="4" w:space="0"/>
              <w:left w:val="nil"/>
              <w:bottom w:val="single" w:color="auto" w:sz="4" w:space="0"/>
              <w:right w:val="nil"/>
            </w:tcBorders>
            <w:shd w:val="clear" w:color="auto" w:fill="auto"/>
            <w:vAlign w:val="center"/>
          </w:tcPr>
          <w:p w14:paraId="7484D7D0">
            <w:pPr>
              <w:keepNext w:val="0"/>
              <w:keepLines w:val="0"/>
              <w:widowControl w:val="0"/>
              <w:suppressLineNumbers w:val="0"/>
              <w:tabs>
                <w:tab w:val="left" w:pos="3882"/>
                <w:tab w:val="left" w:pos="3987"/>
              </w:tabs>
              <w:spacing w:before="0" w:beforeAutospacing="0" w:after="0" w:afterAutospacing="0"/>
              <w:ind w:left="0" w:right="311" w:rightChars="148"/>
              <w:jc w:val="right"/>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2026年4月30日印发</w:t>
            </w:r>
          </w:p>
        </w:tc>
      </w:tr>
    </w:tbl>
    <w:p w14:paraId="4AB75762">
      <w:pPr>
        <w:rPr>
          <w:highlight w:val="none"/>
        </w:rPr>
      </w:pPr>
    </w:p>
    <w:sectPr>
      <w:footerReference r:id="rId3" w:type="default"/>
      <w:pgSz w:w="11906" w:h="16838"/>
      <w:pgMar w:top="1701"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D741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07583">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E07583">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B879E"/>
    <w:multiLevelType w:val="singleLevel"/>
    <w:tmpl w:val="423B879E"/>
    <w:lvl w:ilvl="0" w:tentative="0">
      <w:start w:val="1"/>
      <w:numFmt w:val="chineseCounting"/>
      <w:suff w:val="nothing"/>
      <w:lvlText w:val="（%1）"/>
      <w:lvlJc w:val="left"/>
      <w:rPr>
        <w:rFonts w:hint="eastAsia"/>
      </w:rPr>
    </w:lvl>
  </w:abstractNum>
  <w:abstractNum w:abstractNumId="1">
    <w:nsid w:val="7460251B"/>
    <w:multiLevelType w:val="singleLevel"/>
    <w:tmpl w:val="7460251B"/>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mU4YmM1MTQ3ZDUyOWQxMDA5OGU4MmQ5YTNiMDAifQ=="/>
  </w:docVars>
  <w:rsids>
    <w:rsidRoot w:val="2A7F762B"/>
    <w:rsid w:val="014F132C"/>
    <w:rsid w:val="01DD6FC1"/>
    <w:rsid w:val="0219705A"/>
    <w:rsid w:val="03CC5678"/>
    <w:rsid w:val="04FB7F45"/>
    <w:rsid w:val="06CF3FDF"/>
    <w:rsid w:val="076B63F8"/>
    <w:rsid w:val="07A5125E"/>
    <w:rsid w:val="07B76A03"/>
    <w:rsid w:val="08877123"/>
    <w:rsid w:val="097912D2"/>
    <w:rsid w:val="0A0259D4"/>
    <w:rsid w:val="0A537496"/>
    <w:rsid w:val="0A7B2C42"/>
    <w:rsid w:val="0BCC101C"/>
    <w:rsid w:val="0E367DC2"/>
    <w:rsid w:val="0EBC0E2F"/>
    <w:rsid w:val="0F4A51BF"/>
    <w:rsid w:val="100F211B"/>
    <w:rsid w:val="10BD5131"/>
    <w:rsid w:val="11B15CE9"/>
    <w:rsid w:val="12340858"/>
    <w:rsid w:val="123E696C"/>
    <w:rsid w:val="12D0457D"/>
    <w:rsid w:val="132149F2"/>
    <w:rsid w:val="1339568F"/>
    <w:rsid w:val="13941148"/>
    <w:rsid w:val="155C0219"/>
    <w:rsid w:val="15B63938"/>
    <w:rsid w:val="16C049E6"/>
    <w:rsid w:val="17376763"/>
    <w:rsid w:val="173A433D"/>
    <w:rsid w:val="17C02571"/>
    <w:rsid w:val="17E92B56"/>
    <w:rsid w:val="185C0C0F"/>
    <w:rsid w:val="196B1FA1"/>
    <w:rsid w:val="1A07082D"/>
    <w:rsid w:val="1A2D6D57"/>
    <w:rsid w:val="1B9A3D5A"/>
    <w:rsid w:val="1BCC44C9"/>
    <w:rsid w:val="1CB45F67"/>
    <w:rsid w:val="1DB55799"/>
    <w:rsid w:val="1DD95805"/>
    <w:rsid w:val="1EB65F93"/>
    <w:rsid w:val="20835F2C"/>
    <w:rsid w:val="20BB52DA"/>
    <w:rsid w:val="213F3844"/>
    <w:rsid w:val="219278A5"/>
    <w:rsid w:val="23D1267C"/>
    <w:rsid w:val="25B53634"/>
    <w:rsid w:val="264F7B2D"/>
    <w:rsid w:val="26F17F87"/>
    <w:rsid w:val="26FA4A88"/>
    <w:rsid w:val="28A86FC8"/>
    <w:rsid w:val="2A7F762B"/>
    <w:rsid w:val="2CAD0908"/>
    <w:rsid w:val="2D2F4B41"/>
    <w:rsid w:val="2DD736A3"/>
    <w:rsid w:val="2E214D74"/>
    <w:rsid w:val="2E831059"/>
    <w:rsid w:val="2F652F3C"/>
    <w:rsid w:val="31DF7D29"/>
    <w:rsid w:val="32432891"/>
    <w:rsid w:val="32781451"/>
    <w:rsid w:val="330079CD"/>
    <w:rsid w:val="33216F2A"/>
    <w:rsid w:val="33B4282D"/>
    <w:rsid w:val="344B15E7"/>
    <w:rsid w:val="34565CE1"/>
    <w:rsid w:val="34B92A27"/>
    <w:rsid w:val="35F51232"/>
    <w:rsid w:val="379F27DC"/>
    <w:rsid w:val="38FC70C7"/>
    <w:rsid w:val="396A64FB"/>
    <w:rsid w:val="3B7B6102"/>
    <w:rsid w:val="3C461732"/>
    <w:rsid w:val="3D3048B4"/>
    <w:rsid w:val="3DB945F5"/>
    <w:rsid w:val="3DFC5EE5"/>
    <w:rsid w:val="3E0A33AF"/>
    <w:rsid w:val="4012040D"/>
    <w:rsid w:val="40183936"/>
    <w:rsid w:val="402C102B"/>
    <w:rsid w:val="407707ED"/>
    <w:rsid w:val="4152035B"/>
    <w:rsid w:val="4234076A"/>
    <w:rsid w:val="438B4B5B"/>
    <w:rsid w:val="43CA10AF"/>
    <w:rsid w:val="45314B84"/>
    <w:rsid w:val="47361F62"/>
    <w:rsid w:val="47B86C4C"/>
    <w:rsid w:val="47C411B6"/>
    <w:rsid w:val="49203E9F"/>
    <w:rsid w:val="49641AB4"/>
    <w:rsid w:val="4A69668E"/>
    <w:rsid w:val="4A810DC1"/>
    <w:rsid w:val="4B456184"/>
    <w:rsid w:val="4B997BD4"/>
    <w:rsid w:val="4BC03622"/>
    <w:rsid w:val="4CD339FE"/>
    <w:rsid w:val="4D626521"/>
    <w:rsid w:val="4DB67CDD"/>
    <w:rsid w:val="4E576091"/>
    <w:rsid w:val="5328504E"/>
    <w:rsid w:val="545C3B2A"/>
    <w:rsid w:val="556F6A7A"/>
    <w:rsid w:val="56D6723A"/>
    <w:rsid w:val="56DD30D8"/>
    <w:rsid w:val="56FA33C7"/>
    <w:rsid w:val="570F789F"/>
    <w:rsid w:val="5773682D"/>
    <w:rsid w:val="583D4447"/>
    <w:rsid w:val="59790483"/>
    <w:rsid w:val="5985692A"/>
    <w:rsid w:val="5AB30E80"/>
    <w:rsid w:val="5CFA554B"/>
    <w:rsid w:val="5D8466D6"/>
    <w:rsid w:val="5E49718B"/>
    <w:rsid w:val="5F775926"/>
    <w:rsid w:val="60407871"/>
    <w:rsid w:val="607F5EFC"/>
    <w:rsid w:val="610D1793"/>
    <w:rsid w:val="61464082"/>
    <w:rsid w:val="61AC3705"/>
    <w:rsid w:val="61BD2347"/>
    <w:rsid w:val="635B63B9"/>
    <w:rsid w:val="63F11B0C"/>
    <w:rsid w:val="658D6D8D"/>
    <w:rsid w:val="674F436D"/>
    <w:rsid w:val="676676DF"/>
    <w:rsid w:val="68D109FB"/>
    <w:rsid w:val="69AA484A"/>
    <w:rsid w:val="69B85DE4"/>
    <w:rsid w:val="6AC70905"/>
    <w:rsid w:val="6C2A2F12"/>
    <w:rsid w:val="6C524909"/>
    <w:rsid w:val="6CA5599E"/>
    <w:rsid w:val="6D0A06B5"/>
    <w:rsid w:val="6D8945FB"/>
    <w:rsid w:val="6E6E2E44"/>
    <w:rsid w:val="6EB81034"/>
    <w:rsid w:val="6EE5065E"/>
    <w:rsid w:val="6F460731"/>
    <w:rsid w:val="71B96986"/>
    <w:rsid w:val="731146F1"/>
    <w:rsid w:val="738F2046"/>
    <w:rsid w:val="73F3130E"/>
    <w:rsid w:val="749C56FE"/>
    <w:rsid w:val="75053496"/>
    <w:rsid w:val="75F77103"/>
    <w:rsid w:val="7626105F"/>
    <w:rsid w:val="76CA152F"/>
    <w:rsid w:val="783B4C00"/>
    <w:rsid w:val="791631A3"/>
    <w:rsid w:val="7A710BAB"/>
    <w:rsid w:val="7BBE7194"/>
    <w:rsid w:val="7C031292"/>
    <w:rsid w:val="7C145F64"/>
    <w:rsid w:val="7C5B5079"/>
    <w:rsid w:val="7CC80452"/>
    <w:rsid w:val="7CDA4005"/>
    <w:rsid w:val="7F57538B"/>
    <w:rsid w:val="7FA07A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3"/>
    <w:qFormat/>
    <w:uiPriority w:val="0"/>
    <w:pPr>
      <w:spacing w:after="0" w:line="420" w:lineRule="exact"/>
      <w:ind w:left="0" w:leftChars="0" w:firstLine="420"/>
    </w:pPr>
    <w:rPr>
      <w:rFonts w:ascii="仿宋_GB2312" w:eastAsia="Times New Roman"/>
      <w:sz w:val="24"/>
    </w:rPr>
  </w:style>
  <w:style w:type="paragraph" w:styleId="3">
    <w:name w:val="Body Text First Indent"/>
    <w:basedOn w:val="4"/>
    <w:next w:val="1"/>
    <w:qFormat/>
    <w:uiPriority w:val="0"/>
    <w:pPr>
      <w:snapToGrid w:val="0"/>
      <w:spacing w:line="360" w:lineRule="auto"/>
      <w:ind w:firstLine="200" w:firstLineChars="200"/>
    </w:pPr>
    <w:rPr>
      <w:rFonts w:ascii="Courier New" w:hAnsi="Courier New" w:eastAsia="Times New Roman"/>
      <w:snapToGrid w:val="0"/>
      <w:color w:val="000000"/>
      <w:kern w:val="2"/>
    </w:rPr>
  </w:style>
  <w:style w:type="paragraph" w:styleId="4">
    <w:name w:val="Body Text"/>
    <w:basedOn w:val="1"/>
    <w:next w:val="1"/>
    <w:qFormat/>
    <w:uiPriority w:val="0"/>
    <w:pPr>
      <w:spacing w:after="120" w:afterLines="0" w:afterAutospacing="0"/>
    </w:pPr>
    <w:rPr>
      <w:kern w:val="2"/>
      <w:sz w:val="21"/>
    </w:rPr>
  </w:style>
  <w:style w:type="paragraph" w:styleId="6">
    <w:name w:val="annotation text"/>
    <w:basedOn w:val="1"/>
    <w:qFormat/>
    <w:uiPriority w:val="0"/>
    <w:pPr>
      <w:jc w:val="left"/>
    </w:pPr>
  </w:style>
  <w:style w:type="paragraph" w:styleId="7">
    <w:name w:val="Body Text Indent"/>
    <w:basedOn w:val="1"/>
    <w:unhideWhenUsed/>
    <w:qFormat/>
    <w:uiPriority w:val="0"/>
    <w:pPr>
      <w:spacing w:after="120"/>
      <w:ind w:left="420" w:leftChars="200"/>
    </w:pPr>
  </w:style>
  <w:style w:type="paragraph" w:styleId="8">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楷体_GB2312" w:cs="Times New Roman"/>
      <w:kern w:val="2"/>
      <w:sz w:val="32"/>
      <w:szCs w:val="20"/>
      <w:lang w:val="en-US" w:eastAsia="zh-CN" w:bidi="ar"/>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customStyle="1" w:styleId="17">
    <w:name w:val="5文章(治) Char"/>
    <w:basedOn w:val="14"/>
    <w:qFormat/>
    <w:uiPriority w:val="0"/>
    <w:rPr>
      <w:rFonts w:hint="eastAsia" w:ascii="楷体_GB2312" w:eastAsia="楷体_GB2312" w:cs="楷体_GB2312"/>
      <w:kern w:val="2"/>
      <w:sz w:val="2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1922</Words>
  <Characters>2069</Characters>
  <Lines>0</Lines>
  <Paragraphs>0</Paragraphs>
  <TotalTime>3</TotalTime>
  <ScaleCrop>false</ScaleCrop>
  <LinksUpToDate>false</LinksUpToDate>
  <CharactersWithSpaces>2071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2016-03-09T02:21:00Z</dcterms:created>
  <dc:creator>Yuri</dc:creator>
  <cp:lastModifiedBy>。</cp:lastModifiedBy>
  <cp:lastPrinted>2025-07-29T08:52:00Z</cp:lastPrinted>
  <dcterms:modified xsi:type="dcterms:W3CDTF">2026-05-18T07:54:09Z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23CDB06C4BF844E8958F0D48EC7F0A57_13</vt:lpwstr>
  </property>
  <property fmtid="{D5CDD505-2E9C-101B-9397-08002B2CF9AE}" pid="4" name="KSOTemplateDocerSaveRecord">
    <vt:lpwstr>eyJoZGlkIjoiYmM1YmI2NTQ3NTNjYzAxZDIwMWMyNWYyMTQzOGM5NDUiLCJ1c2VySWQiOiIzNjUxNDM5NDAifQ==</vt:lpwstr>
  </property>
</Properties>
</file>