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rPr>
      </w:pPr>
      <w:bookmarkStart w:id="0" w:name="_GoBack"/>
      <w:bookmarkEnd w:id="0"/>
      <w:r>
        <w:rPr>
          <w:rFonts w:hint="eastAsia"/>
        </w:rPr>
        <w:t>榕环评〔202</w:t>
      </w:r>
      <w:r>
        <w:rPr>
          <w:rFonts w:hint="eastAsia"/>
          <w:lang w:val="en-US" w:eastAsia="zh-CN"/>
        </w:rPr>
        <w:t>6</w:t>
      </w:r>
      <w:r>
        <w:rPr>
          <w:rFonts w:hint="eastAsia"/>
        </w:rPr>
        <w:t>〕</w:t>
      </w:r>
      <w:r>
        <w:rPr>
          <w:rFonts w:hint="eastAsia"/>
          <w:highlight w:val="none"/>
          <w:lang w:val="en-US" w:eastAsia="zh-CN"/>
        </w:rPr>
        <w:t>15</w:t>
      </w:r>
      <w:r>
        <w:rPr>
          <w:rFonts w:hint="eastAsia"/>
        </w:rPr>
        <w:t>号</w:t>
      </w:r>
    </w:p>
    <w:p>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b/>
          <w:color w:val="000000"/>
          <w:sz w:val="44"/>
          <w:szCs w:val="44"/>
          <w:lang w:val="en-US" w:eastAsia="zh-CN"/>
        </w:rPr>
      </w:pPr>
      <w:r>
        <w:rPr>
          <w:rFonts w:hint="eastAsia" w:ascii="方正小标宋_GBK" w:hAnsi="方正小标宋_GBK" w:eastAsia="方正小标宋_GBK" w:cs="方正小标宋_GBK"/>
          <w:b/>
          <w:color w:val="000000"/>
          <w:sz w:val="44"/>
          <w:szCs w:val="44"/>
          <w:lang w:val="en-US" w:eastAsia="zh-CN"/>
        </w:rPr>
        <w:t>福州市生态环境局</w:t>
      </w:r>
    </w:p>
    <w:p>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b/>
          <w:bCs/>
        </w:rPr>
      </w:pPr>
      <w:r>
        <w:rPr>
          <w:rFonts w:hint="eastAsia" w:ascii="方正小标宋_GBK" w:hAnsi="方正小标宋_GBK" w:eastAsia="方正小标宋_GBK" w:cs="方正小标宋_GBK"/>
          <w:b/>
          <w:color w:val="000000"/>
          <w:sz w:val="44"/>
          <w:szCs w:val="44"/>
          <w:lang w:val="en-US" w:eastAsia="zh-CN"/>
        </w:rPr>
        <w:t>关于福州机场第二高速公路文溪枢纽互通工程环境影响报告书的审批意见</w:t>
      </w:r>
    </w:p>
    <w:p>
      <w:pPr>
        <w:pageBreakBefore w:val="0"/>
        <w:widowControl w:val="0"/>
        <w:kinsoku/>
        <w:overflowPunct/>
        <w:topLinePunct w:val="0"/>
        <w:autoSpaceDE/>
        <w:autoSpaceDN/>
        <w:bidi w:val="0"/>
        <w:adjustRightInd/>
        <w:spacing w:line="520" w:lineRule="atLeast"/>
        <w:textAlignment w:val="auto"/>
        <w:rPr>
          <w:rFonts w:hint="eastAsia" w:eastAsia="仿宋_GB2312"/>
          <w:lang w:val="en-US" w:eastAsia="zh-CN"/>
        </w:rPr>
      </w:pPr>
    </w:p>
    <w:p>
      <w:pPr>
        <w:pStyle w:val="21"/>
        <w:keepNext w:val="0"/>
        <w:keepLines w:val="0"/>
        <w:pageBreakBefore w:val="0"/>
        <w:widowControl w:val="0"/>
        <w:kinsoku/>
        <w:overflowPunct/>
        <w:topLinePunct w:val="0"/>
        <w:autoSpaceDE/>
        <w:autoSpaceDN/>
        <w:bidi w:val="0"/>
        <w:adjustRightInd/>
        <w:snapToGrid/>
        <w:spacing w:line="560" w:lineRule="exact"/>
        <w:ind w:right="0" w:rightChars="0"/>
        <w:textAlignment w:val="auto"/>
        <w:rPr>
          <w:rFonts w:hint="eastAsia"/>
          <w:szCs w:val="32"/>
        </w:rPr>
      </w:pPr>
      <w:r>
        <w:rPr>
          <w:rFonts w:hint="eastAsia" w:ascii="Times New Roman" w:hAnsi="Times New Roman"/>
          <w:b w:val="0"/>
          <w:bCs w:val="0"/>
          <w:color w:val="000000"/>
          <w:kern w:val="0"/>
          <w:sz w:val="32"/>
          <w:szCs w:val="32"/>
          <w:lang w:eastAsia="zh-CN"/>
        </w:rPr>
        <w:t>福州机场复线高速公路有限公司</w:t>
      </w:r>
      <w:r>
        <w:rPr>
          <w:rFonts w:hint="eastAsia"/>
          <w:szCs w:val="32"/>
        </w:rPr>
        <w:t>：</w:t>
      </w:r>
    </w:p>
    <w:p>
      <w:pPr>
        <w:keepNext w:val="0"/>
        <w:keepLines w:val="0"/>
        <w:pageBreakBefore w:val="0"/>
        <w:widowControl w:val="0"/>
        <w:kinsoku/>
        <w:overflowPunct/>
        <w:topLinePunct w:val="0"/>
        <w:autoSpaceDE/>
        <w:autoSpaceDN/>
        <w:bidi w:val="0"/>
        <w:adjustRightInd/>
        <w:snapToGrid/>
        <w:spacing w:line="560" w:lineRule="exact"/>
        <w:ind w:right="0" w:rightChars="0" w:firstLine="640" w:firstLineChars="200"/>
        <w:textAlignment w:val="auto"/>
        <w:rPr>
          <w:rFonts w:hint="eastAsia"/>
          <w:lang w:val="en-US" w:eastAsia="zh-CN"/>
        </w:rPr>
      </w:pPr>
      <w:r>
        <w:rPr>
          <w:rFonts w:hint="eastAsia"/>
          <w:lang w:val="en-US" w:eastAsia="zh-CN"/>
        </w:rPr>
        <w:t>你司报送的《福州机场第二高速公路文溪枢纽互通工程环境影响报告书》（以下简称《报告书》）及申请审批报告收悉。根据《中华人民共和国环境影响评价法》第二十二条等规定，经组织技术审查，并征求福州市长乐生态环境局意见，现提出审批意见如下：</w:t>
      </w:r>
    </w:p>
    <w:p>
      <w:pPr>
        <w:pStyle w:val="31"/>
        <w:keepNext w:val="0"/>
        <w:keepLines w:val="0"/>
        <w:pageBreakBefore w:val="0"/>
        <w:widowControl w:val="0"/>
        <w:kinsoku/>
        <w:wordWrap/>
        <w:overflowPunct/>
        <w:topLinePunct w:val="0"/>
        <w:autoSpaceDE/>
        <w:autoSpaceDN/>
        <w:bidi w:val="0"/>
        <w:adjustRightInd w:val="0"/>
        <w:snapToGrid w:val="0"/>
        <w:spacing w:line="560" w:lineRule="exact"/>
        <w:ind w:firstLine="560"/>
        <w:textAlignment w:val="auto"/>
        <w:rPr>
          <w:rFonts w:hint="default"/>
          <w:color w:val="000000" w:themeColor="text1"/>
          <w:highlight w:val="none"/>
          <w:lang w:val="en-US" w:eastAsia="zh-CN"/>
          <w14:textFill>
            <w14:solidFill>
              <w14:schemeClr w14:val="tx1"/>
            </w14:solidFill>
          </w14:textFill>
        </w:rPr>
      </w:pPr>
      <w:r>
        <w:rPr>
          <w:rFonts w:hint="eastAsia"/>
          <w:highlight w:val="none"/>
          <w:lang w:val="en-US" w:eastAsia="zh-CN"/>
        </w:rPr>
        <w:t>一、福州机场第二高速公路文溪枢纽互通工程位于福州市长乐区潭头镇文溪村附近，是在建福州机场第二高速与既有绕城高速东南段交通转换的枢纽节点。</w:t>
      </w:r>
      <w:r>
        <w:rPr>
          <w:rFonts w:hint="eastAsia" w:ascii="仿宋_GB2312" w:hAnsi="仿宋_GB2312" w:eastAsia="仿宋_GB2312" w:cs="仿宋_GB2312"/>
          <w:b w:val="0"/>
          <w:color w:val="auto"/>
          <w:kern w:val="2"/>
          <w:sz w:val="32"/>
          <w:szCs w:val="32"/>
          <w:highlight w:val="none"/>
          <w:lang w:val="en-US" w:eastAsia="zh-CN" w:bidi="ar-SA"/>
        </w:rPr>
        <w:t>互通采用变异苜蓿叶型（三环式），互通主线为福州机场第二高速公路，采用设计</w:t>
      </w:r>
      <w:r>
        <w:rPr>
          <w:rFonts w:hint="eastAsia" w:cs="仿宋_GB2312"/>
          <w:b w:val="0"/>
          <w:color w:val="auto"/>
          <w:kern w:val="2"/>
          <w:sz w:val="32"/>
          <w:szCs w:val="32"/>
          <w:highlight w:val="none"/>
          <w:lang w:val="en-US" w:eastAsia="zh-CN" w:bidi="ar-SA"/>
        </w:rPr>
        <w:t>速度</w:t>
      </w:r>
      <w:r>
        <w:rPr>
          <w:rFonts w:hint="eastAsia" w:ascii="仿宋_GB2312" w:hAnsi="仿宋_GB2312" w:eastAsia="仿宋_GB2312" w:cs="仿宋_GB2312"/>
          <w:b w:val="0"/>
          <w:color w:val="auto"/>
          <w:kern w:val="2"/>
          <w:sz w:val="32"/>
          <w:szCs w:val="32"/>
          <w:highlight w:val="none"/>
          <w:lang w:val="en-US" w:eastAsia="zh-CN" w:bidi="ar-SA"/>
        </w:rPr>
        <w:t>100km/h，路基宽度33.5m的双向六车道高速公路标准</w:t>
      </w:r>
      <w:r>
        <w:rPr>
          <w:rFonts w:hint="eastAsia" w:cs="仿宋_GB2312"/>
          <w:b w:val="0"/>
          <w:color w:val="auto"/>
          <w:kern w:val="2"/>
          <w:sz w:val="32"/>
          <w:szCs w:val="32"/>
          <w:highlight w:val="none"/>
          <w:lang w:val="en-US" w:eastAsia="zh-CN" w:bidi="ar-SA"/>
        </w:rPr>
        <w:t>建设</w:t>
      </w:r>
      <w:r>
        <w:rPr>
          <w:rFonts w:hint="eastAsia" w:ascii="仿宋_GB2312" w:hAnsi="仿宋_GB2312" w:eastAsia="仿宋_GB2312" w:cs="仿宋_GB2312"/>
          <w:b w:val="0"/>
          <w:color w:val="auto"/>
          <w:kern w:val="2"/>
          <w:sz w:val="32"/>
          <w:szCs w:val="32"/>
          <w:highlight w:val="none"/>
          <w:lang w:val="en-US" w:eastAsia="zh-CN" w:bidi="ar-SA"/>
        </w:rPr>
        <w:t>，影响长度为2.300公里；被交路为绕城高速东南段，采用设计速度100km/h、路基宽度33.5m的双向六车道高速公路标准建设</w:t>
      </w:r>
      <w:r>
        <w:rPr>
          <w:rFonts w:hint="eastAsia" w:cs="仿宋_GB2312"/>
          <w:b w:val="0"/>
          <w:color w:val="auto"/>
          <w:kern w:val="2"/>
          <w:sz w:val="32"/>
          <w:szCs w:val="32"/>
          <w:highlight w:val="none"/>
          <w:lang w:val="en-US" w:eastAsia="zh-CN" w:bidi="ar-SA"/>
        </w:rPr>
        <w:t>，影响长度为1.950公里</w:t>
      </w:r>
      <w:r>
        <w:rPr>
          <w:rFonts w:hint="eastAsia" w:ascii="仿宋_GB2312" w:hAnsi="仿宋_GB2312" w:eastAsia="仿宋_GB2312" w:cs="仿宋_GB2312"/>
          <w:b w:val="0"/>
          <w:color w:val="auto"/>
          <w:kern w:val="2"/>
          <w:sz w:val="32"/>
          <w:szCs w:val="32"/>
          <w:highlight w:val="none"/>
          <w:lang w:val="en-US" w:eastAsia="zh-CN" w:bidi="ar-SA"/>
        </w:rPr>
        <w:t>。互通共设16条匝道</w:t>
      </w:r>
      <w:r>
        <w:rPr>
          <w:rFonts w:hint="eastAsia" w:cs="仿宋_GB2312"/>
          <w:b w:val="0"/>
          <w:color w:val="auto"/>
          <w:kern w:val="2"/>
          <w:sz w:val="32"/>
          <w:szCs w:val="32"/>
          <w:highlight w:val="none"/>
          <w:lang w:val="en-US" w:eastAsia="zh-CN" w:bidi="ar-SA"/>
        </w:rPr>
        <w:t>，</w:t>
      </w:r>
      <w:r>
        <w:rPr>
          <w:rFonts w:hint="eastAsia" w:ascii="仿宋_GB2312" w:hAnsi="仿宋_GB2312" w:eastAsia="仿宋_GB2312" w:cs="仿宋_GB2312"/>
          <w:b w:val="0"/>
          <w:color w:val="auto"/>
          <w:kern w:val="2"/>
          <w:sz w:val="32"/>
          <w:szCs w:val="32"/>
          <w:highlight w:val="none"/>
          <w:lang w:val="en-US" w:eastAsia="zh-CN" w:bidi="ar-SA"/>
        </w:rPr>
        <w:t>匝道设计速度40、60km/h，单向单车道宽9米，单向双车道宽10.5m,匝道总长9.202公里。</w:t>
      </w:r>
    </w:p>
    <w:p>
      <w:pPr>
        <w:keepNext w:val="0"/>
        <w:keepLines w:val="0"/>
        <w:pageBreakBefore w:val="0"/>
        <w:widowControl w:val="0"/>
        <w:kinsoku/>
        <w:overflowPunct/>
        <w:topLinePunct w:val="0"/>
        <w:autoSpaceDE/>
        <w:autoSpaceDN/>
        <w:bidi w:val="0"/>
        <w:adjustRightInd/>
        <w:snapToGrid/>
        <w:spacing w:line="560" w:lineRule="exact"/>
        <w:ind w:right="0" w:rightChars="0"/>
        <w:textAlignment w:val="auto"/>
        <w:rPr>
          <w:rFonts w:hint="default"/>
          <w:lang w:val="en-US" w:eastAsia="zh-CN"/>
        </w:rPr>
      </w:pPr>
      <w:r>
        <w:rPr>
          <w:rFonts w:hint="eastAsia"/>
          <w:lang w:val="en-US" w:eastAsia="zh-CN"/>
        </w:rPr>
        <w:t>根据《报告书》评价结论和福州市环境影响评价技术中心的技术评估报告（</w:t>
      </w:r>
      <w:r>
        <w:rPr>
          <w:rFonts w:hint="eastAsia"/>
          <w:highlight w:val="none"/>
          <w:lang w:val="en-US" w:eastAsia="zh-CN"/>
        </w:rPr>
        <w:t>编号2-2025-045</w:t>
      </w:r>
      <w:r>
        <w:rPr>
          <w:rFonts w:hint="eastAsia"/>
          <w:lang w:val="en-US" w:eastAsia="zh-CN"/>
        </w:rPr>
        <w:t>）</w:t>
      </w:r>
      <w:r>
        <w:rPr>
          <w:rFonts w:hint="eastAsia"/>
          <w:highlight w:val="none"/>
          <w:lang w:val="en-US" w:eastAsia="zh-CN"/>
        </w:rPr>
        <w:t>，</w:t>
      </w:r>
      <w:r>
        <w:rPr>
          <w:rFonts w:hint="eastAsia"/>
        </w:rPr>
        <w:t>该</w:t>
      </w:r>
      <w:r>
        <w:rPr>
          <w:rFonts w:hint="eastAsia"/>
          <w:lang w:eastAsia="zh-CN"/>
        </w:rPr>
        <w:t>项目建设符合国家产业政策和福州市生态环境分区管控要求，</w:t>
      </w:r>
      <w:r>
        <w:rPr>
          <w:rFonts w:hint="eastAsia"/>
          <w:lang w:val="en-US" w:eastAsia="zh-CN"/>
        </w:rPr>
        <w:t>符合《福建省高速公路网规划（2016-2030年）》《福州市国土空间总体规划（2021-2035年）》等相关规划要求</w:t>
      </w:r>
      <w:r>
        <w:rPr>
          <w:rFonts w:hint="eastAsia"/>
          <w:color w:val="000000" w:themeColor="text1"/>
          <w:highlight w:val="none"/>
          <w:lang w:val="en-US" w:eastAsia="zh-CN"/>
          <w14:textFill>
            <w14:solidFill>
              <w14:schemeClr w14:val="tx1"/>
            </w14:solidFill>
          </w14:textFill>
        </w:rPr>
        <w:t>。</w:t>
      </w:r>
      <w:r>
        <w:rPr>
          <w:rFonts w:hint="eastAsia"/>
          <w:lang w:val="en-US" w:eastAsia="zh-CN"/>
        </w:rPr>
        <w:t>在严格落实《报告书》提出的各项环境保护措施，加强环境管理的前提下，从环境影响角度分析，项目建设可行。</w:t>
      </w:r>
      <w:r>
        <w:rPr>
          <w:rFonts w:hint="eastAsia"/>
        </w:rPr>
        <w:t>同意</w:t>
      </w:r>
      <w:r>
        <w:rPr>
          <w:rFonts w:hint="eastAsia"/>
          <w:lang w:eastAsia="zh-CN"/>
        </w:rPr>
        <w:t>项目</w:t>
      </w:r>
      <w:r>
        <w:rPr>
          <w:rFonts w:hint="eastAsia"/>
        </w:rPr>
        <w:t>按照</w:t>
      </w:r>
      <w:r>
        <w:rPr>
          <w:rFonts w:hint="eastAsia"/>
          <w:lang w:val="en-US" w:eastAsia="zh-CN"/>
        </w:rPr>
        <w:t>《报告书》</w:t>
      </w:r>
      <w:r>
        <w:rPr>
          <w:rFonts w:hint="eastAsia"/>
        </w:rPr>
        <w:t>中所列的性质、规模、地点、采用的生产工艺</w:t>
      </w:r>
      <w:r>
        <w:rPr>
          <w:rFonts w:hint="eastAsia"/>
          <w:lang w:eastAsia="zh-CN"/>
        </w:rPr>
        <w:t>和</w:t>
      </w:r>
      <w:r>
        <w:rPr>
          <w:rFonts w:hint="eastAsia"/>
        </w:rPr>
        <w:t>防治污染、防止生态破坏的措施进行建设</w:t>
      </w:r>
      <w:r>
        <w:rPr>
          <w:rFonts w:hint="eastAsia"/>
          <w:lang w:val="en-US" w:eastAsia="zh-CN"/>
        </w:rPr>
        <w:t>。</w:t>
      </w:r>
    </w:p>
    <w:p>
      <w:pPr>
        <w:keepNext w:val="0"/>
        <w:keepLines w:val="0"/>
        <w:pageBreakBefore w:val="0"/>
        <w:widowControl w:val="0"/>
        <w:kinsoku/>
        <w:overflowPunct/>
        <w:topLinePunct w:val="0"/>
        <w:autoSpaceDE/>
        <w:autoSpaceDN/>
        <w:bidi w:val="0"/>
        <w:adjustRightInd/>
        <w:snapToGrid/>
        <w:spacing w:line="560" w:lineRule="exact"/>
        <w:ind w:right="0" w:rightChars="0"/>
        <w:textAlignment w:val="auto"/>
        <w:rPr>
          <w:rFonts w:hint="eastAsia"/>
          <w:lang w:eastAsia="zh-CN"/>
        </w:rPr>
      </w:pPr>
      <w:r>
        <w:rPr>
          <w:rFonts w:hint="eastAsia"/>
          <w:lang w:val="en-US" w:eastAsia="zh-CN"/>
        </w:rPr>
        <w:t>二、项目应严格落实《报告书》提出的各项生态保护、污染防治、风险防控等措施，并重点做好以下工作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en-US" w:eastAsia="zh-CN"/>
        </w:rPr>
        <w:t>生态环境防治</w:t>
      </w:r>
      <w:r>
        <w:rPr>
          <w:rFonts w:hint="eastAsia" w:cs="仿宋_GB2312"/>
          <w:b w:val="0"/>
          <w:bCs w:val="0"/>
          <w:color w:val="auto"/>
          <w:sz w:val="32"/>
          <w:szCs w:val="32"/>
          <w:highlight w:val="none"/>
          <w:lang w:val="en-US" w:eastAsia="zh-CN"/>
        </w:rPr>
        <w:t>措施。</w:t>
      </w:r>
      <w:r>
        <w:rPr>
          <w:rFonts w:hint="eastAsia" w:ascii="仿宋_GB2312" w:hAnsi="仿宋_GB2312" w:eastAsia="仿宋_GB2312" w:cs="仿宋_GB2312"/>
          <w:color w:val="auto"/>
          <w:sz w:val="32"/>
          <w:szCs w:val="32"/>
          <w:highlight w:val="none"/>
          <w:lang w:val="en-US" w:eastAsia="zh-CN"/>
        </w:rPr>
        <w:t>进一步优化施工场地的布置，在施工过程中尽量依托主线机场二期公路的施工场地，减少施工占地和对植被的破坏；施工结束后及时覆绿、恢复土地原功能。加强对施工人员进行生态环境保护的宣传教育，禁止捕杀野生动物，减少对野生动物的影响。采取必要措施减轻对湿地生态功能的不利影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Times New Roman" w:eastAsia="仿宋_GB2312" w:cs="Times New Roman"/>
          <w:color w:val="auto"/>
          <w:sz w:val="32"/>
          <w:szCs w:val="32"/>
          <w:lang w:eastAsia="zh-CN"/>
        </w:rPr>
      </w:pPr>
      <w:r>
        <w:rPr>
          <w:rFonts w:hint="eastAsia"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val="en-US" w:eastAsia="zh-CN"/>
        </w:rPr>
        <w:t>水污染防治</w:t>
      </w:r>
      <w:r>
        <w:rPr>
          <w:rFonts w:hint="eastAsia" w:cs="仿宋_GB2312"/>
          <w:b w:val="0"/>
          <w:bCs w:val="0"/>
          <w:color w:val="auto"/>
          <w:sz w:val="32"/>
          <w:szCs w:val="32"/>
          <w:highlight w:val="none"/>
          <w:lang w:val="en-US" w:eastAsia="zh-CN"/>
        </w:rPr>
        <w:t>措施。</w:t>
      </w:r>
      <w:r>
        <w:rPr>
          <w:rFonts w:hint="eastAsia" w:ascii="仿宋_GB2312" w:hAnsi="仿宋_GB2312" w:eastAsia="仿宋_GB2312" w:cs="仿宋_GB2312"/>
          <w:bCs/>
          <w:color w:val="000000"/>
          <w:sz w:val="32"/>
          <w:szCs w:val="32"/>
          <w:highlight w:val="none"/>
          <w:lang w:eastAsia="zh-CN"/>
        </w:rPr>
        <w:t>严格落实</w:t>
      </w:r>
      <w:r>
        <w:rPr>
          <w:rFonts w:hint="eastAsia"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eastAsia="zh-CN"/>
        </w:rPr>
        <w:t>报告书</w:t>
      </w:r>
      <w:r>
        <w:rPr>
          <w:rFonts w:hint="eastAsia"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eastAsia="zh-CN"/>
        </w:rPr>
        <w:t>提出的施工期和运营期的水污染防治措施，尽量减少对</w:t>
      </w:r>
      <w:r>
        <w:rPr>
          <w:rFonts w:hint="eastAsia" w:ascii="仿宋_GB2312" w:hAnsi="仿宋_GB2312" w:cs="仿宋_GB2312"/>
          <w:bCs/>
          <w:color w:val="000000"/>
          <w:sz w:val="32"/>
          <w:szCs w:val="32"/>
          <w:highlight w:val="none"/>
          <w:lang w:eastAsia="zh-CN"/>
        </w:rPr>
        <w:t>周边</w:t>
      </w:r>
      <w:r>
        <w:rPr>
          <w:rFonts w:hint="eastAsia" w:ascii="仿宋_GB2312" w:hAnsi="仿宋_GB2312" w:eastAsia="仿宋_GB2312" w:cs="仿宋_GB2312"/>
          <w:bCs/>
          <w:color w:val="000000"/>
          <w:sz w:val="32"/>
          <w:szCs w:val="32"/>
          <w:highlight w:val="none"/>
          <w:lang w:eastAsia="zh-CN"/>
        </w:rPr>
        <w:t>水环境的影响</w:t>
      </w:r>
      <w:r>
        <w:rPr>
          <w:rFonts w:hint="eastAsia"/>
          <w:highlight w:val="none"/>
          <w:lang w:eastAsia="zh-CN"/>
        </w:rPr>
        <w:t>。</w:t>
      </w:r>
      <w:r>
        <w:rPr>
          <w:rFonts w:hint="eastAsia" w:ascii="仿宋_GB2312" w:hAnsi="仿宋_GB2312" w:eastAsia="仿宋_GB2312" w:cs="仿宋_GB2312"/>
          <w:b w:val="0"/>
          <w:color w:val="auto"/>
          <w:kern w:val="2"/>
          <w:sz w:val="32"/>
          <w:szCs w:val="32"/>
          <w:highlight w:val="none"/>
          <w:lang w:val="zh-CN" w:eastAsia="zh-CN" w:bidi="ar-SA"/>
        </w:rPr>
        <w:t>施工人员产生的生活污水依托</w:t>
      </w:r>
      <w:r>
        <w:rPr>
          <w:rFonts w:hint="eastAsia" w:cs="仿宋_GB2312"/>
          <w:b w:val="0"/>
          <w:color w:val="auto"/>
          <w:kern w:val="2"/>
          <w:sz w:val="32"/>
          <w:szCs w:val="32"/>
          <w:highlight w:val="none"/>
          <w:lang w:val="zh-CN" w:eastAsia="zh-CN" w:bidi="ar-SA"/>
        </w:rPr>
        <w:t>周边</w:t>
      </w:r>
      <w:r>
        <w:rPr>
          <w:rFonts w:hint="eastAsia" w:ascii="仿宋_GB2312" w:hAnsi="仿宋_GB2312" w:eastAsia="仿宋_GB2312" w:cs="仿宋_GB2312"/>
          <w:b w:val="0"/>
          <w:color w:val="auto"/>
          <w:kern w:val="2"/>
          <w:sz w:val="32"/>
          <w:szCs w:val="32"/>
          <w:highlight w:val="none"/>
          <w:lang w:val="zh-CN" w:eastAsia="zh-CN" w:bidi="ar-SA"/>
        </w:rPr>
        <w:t>的污水处理系统，不外排；施工场地生产废水，经处理后回用不外排；</w:t>
      </w:r>
      <w:r>
        <w:rPr>
          <w:rFonts w:hint="eastAsia" w:ascii="仿宋_GB2312" w:eastAsia="仿宋_GB2312"/>
          <w:sz w:val="32"/>
          <w:szCs w:val="32"/>
          <w:highlight w:val="none"/>
        </w:rPr>
        <w:t>隧道施工废水</w:t>
      </w:r>
      <w:r>
        <w:rPr>
          <w:rFonts w:hint="eastAsia"/>
          <w:sz w:val="32"/>
          <w:szCs w:val="32"/>
          <w:highlight w:val="none"/>
          <w:lang w:val="en-US" w:eastAsia="zh-CN"/>
        </w:rPr>
        <w:t>经</w:t>
      </w:r>
      <w:r>
        <w:rPr>
          <w:rFonts w:hint="eastAsia" w:ascii="仿宋_GB2312" w:eastAsia="仿宋_GB2312"/>
          <w:sz w:val="32"/>
          <w:szCs w:val="32"/>
          <w:highlight w:val="none"/>
        </w:rPr>
        <w:t>处理后回用不外排。</w:t>
      </w:r>
      <w:r>
        <w:rPr>
          <w:rFonts w:hint="eastAsia" w:ascii="仿宋_GB2312" w:hAnsi="仿宋_GB2312" w:eastAsia="仿宋_GB2312" w:cs="仿宋_GB2312"/>
          <w:b w:val="0"/>
          <w:color w:val="auto"/>
          <w:kern w:val="2"/>
          <w:sz w:val="32"/>
          <w:szCs w:val="32"/>
          <w:highlight w:val="none"/>
          <w:lang w:val="zh-CN" w:eastAsia="zh-CN" w:bidi="ar-SA"/>
        </w:rPr>
        <w:t>运营期收费站生活污水经化粪池处理后，定期由吸粪车运往长乐区潭头污水处理厂处理。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lang w:eastAsia="zh-CN"/>
        </w:rPr>
      </w:pPr>
      <w:r>
        <w:rPr>
          <w:rFonts w:hint="eastAsia"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val="en-US" w:eastAsia="zh-CN"/>
        </w:rPr>
        <w:t>大气污染防治</w:t>
      </w:r>
      <w:r>
        <w:rPr>
          <w:rFonts w:hint="eastAsia" w:cs="仿宋_GB2312"/>
          <w:b w:val="0"/>
          <w:bCs w:val="0"/>
          <w:color w:val="auto"/>
          <w:sz w:val="32"/>
          <w:szCs w:val="32"/>
          <w:highlight w:val="none"/>
          <w:lang w:val="en-US" w:eastAsia="zh-CN"/>
        </w:rPr>
        <w:t>措施。</w:t>
      </w:r>
      <w:r>
        <w:rPr>
          <w:rFonts w:hint="eastAsia" w:ascii="仿宋_GB2312" w:hAnsi="仿宋_GB2312" w:eastAsia="仿宋_GB2312" w:cs="仿宋_GB2312"/>
          <w:b w:val="0"/>
          <w:color w:val="auto"/>
          <w:kern w:val="2"/>
          <w:sz w:val="32"/>
          <w:szCs w:val="32"/>
          <w:highlight w:val="none"/>
          <w:lang w:val="en-US" w:eastAsia="zh-CN" w:bidi="ar-SA"/>
        </w:rPr>
        <w:t>易扬尘作业应采取湿法。施工期加强场地道路洒水降尘，运输土石方、粉状材料应采用密闭运输等适当的防护措施,减少施工及车辆运输扬尘影响;在施工场界设置围挡</w:t>
      </w:r>
      <w:r>
        <w:rPr>
          <w:rFonts w:hint="eastAsia" w:cs="仿宋_GB2312"/>
          <w:b w:val="0"/>
          <w:color w:val="auto"/>
          <w:kern w:val="2"/>
          <w:sz w:val="32"/>
          <w:szCs w:val="32"/>
          <w:highlight w:val="none"/>
          <w:lang w:val="en-US" w:eastAsia="zh-CN" w:bidi="ar-SA"/>
        </w:rPr>
        <w:t>、</w:t>
      </w:r>
      <w:r>
        <w:rPr>
          <w:rFonts w:hint="eastAsia" w:ascii="仿宋_GB2312" w:hAnsi="仿宋_GB2312" w:eastAsia="仿宋_GB2312" w:cs="仿宋_GB2312"/>
          <w:b w:val="0"/>
          <w:color w:val="auto"/>
          <w:kern w:val="2"/>
          <w:sz w:val="32"/>
          <w:szCs w:val="32"/>
          <w:highlight w:val="none"/>
          <w:lang w:val="en-US" w:eastAsia="zh-CN" w:bidi="ar-SA"/>
        </w:rPr>
        <w:t>喷淋等降尘措施。运营期加强路域及桥梁护栏的绿化，缓解汽车尾气对周围环境空气质量的影响。</w:t>
      </w:r>
      <w:r>
        <w:rPr>
          <w:rFonts w:hint="eastAsia" w:ascii="仿宋_GB2312" w:hAnsi="Times New Roman" w:eastAsia="仿宋_GB2312" w:cs="Times New Roman"/>
          <w:sz w:val="32"/>
          <w:szCs w:val="32"/>
          <w:highlight w:val="none"/>
          <w:lang w:val="en-US" w:eastAsia="zh-CN"/>
        </w:rPr>
        <w:t>施工期扬尘执行《大气污染物综合排放标准》(GB16297-1996)表2中相应的无组织排放监控浓度限值。</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val="en-US" w:eastAsia="zh-CN"/>
        </w:rPr>
        <w:t>噪声污染防治</w:t>
      </w:r>
      <w:r>
        <w:rPr>
          <w:rFonts w:hint="eastAsia" w:cs="仿宋_GB2312"/>
          <w:b w:val="0"/>
          <w:bCs w:val="0"/>
          <w:color w:val="auto"/>
          <w:sz w:val="32"/>
          <w:szCs w:val="32"/>
          <w:highlight w:val="none"/>
          <w:lang w:val="en-US" w:eastAsia="zh-CN"/>
        </w:rPr>
        <w:t>措施。</w:t>
      </w:r>
      <w:r>
        <w:rPr>
          <w:rFonts w:hint="eastAsia" w:ascii="仿宋_GB2312" w:hAnsi="仿宋_GB2312" w:eastAsia="仿宋_GB2312" w:cs="仿宋_GB2312"/>
          <w:b w:val="0"/>
          <w:color w:val="auto"/>
          <w:kern w:val="2"/>
          <w:sz w:val="32"/>
          <w:szCs w:val="32"/>
          <w:highlight w:val="none"/>
          <w:lang w:val="en-US" w:eastAsia="zh-CN" w:bidi="ar-SA"/>
        </w:rPr>
        <w:t>合理安排施工时间和布置施工场地，隧道拓宽部分施工</w:t>
      </w:r>
      <w:r>
        <w:rPr>
          <w:rFonts w:hint="eastAsia" w:cs="仿宋_GB2312"/>
          <w:b w:val="0"/>
          <w:color w:val="auto"/>
          <w:kern w:val="2"/>
          <w:sz w:val="32"/>
          <w:szCs w:val="32"/>
          <w:highlight w:val="none"/>
          <w:lang w:val="en-US" w:eastAsia="zh-CN" w:bidi="ar-SA"/>
        </w:rPr>
        <w:t>采取有效措施，降低爆破噪声、振动对周边环境的影响。</w:t>
      </w:r>
      <w:r>
        <w:rPr>
          <w:rFonts w:hint="eastAsia" w:ascii="仿宋_GB2312" w:hAnsi="仿宋_GB2312" w:eastAsia="仿宋_GB2312" w:cs="仿宋_GB2312"/>
          <w:b w:val="0"/>
          <w:color w:val="auto"/>
          <w:kern w:val="2"/>
          <w:sz w:val="32"/>
          <w:szCs w:val="32"/>
          <w:highlight w:val="none"/>
          <w:lang w:val="en-US" w:eastAsia="zh-CN" w:bidi="ar-SA"/>
        </w:rPr>
        <w:t>加强对沿线声环境敏感目标的噪声监测，并预留资金，根据跟踪监测结果适时采取降噪措施；</w:t>
      </w:r>
      <w:r>
        <w:rPr>
          <w:rFonts w:hint="eastAsia" w:cs="仿宋_GB2312"/>
          <w:b w:val="0"/>
          <w:color w:val="auto"/>
          <w:kern w:val="2"/>
          <w:sz w:val="32"/>
          <w:szCs w:val="32"/>
          <w:highlight w:val="none"/>
          <w:lang w:val="en-US" w:eastAsia="zh-CN" w:bidi="ar-SA"/>
        </w:rPr>
        <w:t>你司应</w:t>
      </w:r>
      <w:r>
        <w:rPr>
          <w:rFonts w:hint="eastAsia" w:ascii="仿宋_GB2312" w:hAnsi="仿宋_GB2312" w:eastAsia="仿宋_GB2312" w:cs="仿宋_GB2312"/>
          <w:b w:val="0"/>
          <w:color w:val="auto"/>
          <w:kern w:val="2"/>
          <w:sz w:val="32"/>
          <w:szCs w:val="32"/>
          <w:highlight w:val="none"/>
          <w:lang w:val="en-US" w:eastAsia="zh-CN" w:bidi="ar-SA"/>
        </w:rPr>
        <w:t>提请并积极配合当地政府做好公路沿线两侧用地的规划控制，避免交通噪声对新增声环境敏感目标的噪声影响。</w:t>
      </w:r>
      <w:r>
        <w:rPr>
          <w:rFonts w:hint="eastAsia" w:ascii="仿宋_GB2312" w:hAnsi="Times New Roman" w:eastAsia="仿宋_GB2312" w:cs="Times New Roman"/>
          <w:sz w:val="32"/>
          <w:szCs w:val="32"/>
          <w:highlight w:val="none"/>
          <w:lang w:val="en-US" w:eastAsia="zh-CN"/>
        </w:rPr>
        <w:t>施工期场界噪声排放执行《建筑施工噪声排放标准》（GB12523-2025）排放限值。</w:t>
      </w:r>
      <w:r>
        <w:rPr>
          <w:rFonts w:hint="eastAsia" w:cs="仿宋_GB2312"/>
          <w:color w:val="auto"/>
          <w:sz w:val="32"/>
          <w:szCs w:val="32"/>
          <w:highlight w:val="none"/>
          <w:lang w:eastAsia="zh-CN"/>
        </w:rPr>
        <w:t>运营期</w:t>
      </w:r>
      <w:r>
        <w:rPr>
          <w:rFonts w:hint="default" w:ascii="仿宋_GB2312" w:hAnsi="仿宋_GB2312" w:eastAsia="仿宋_GB2312" w:cs="仿宋_GB2312"/>
          <w:color w:val="auto"/>
          <w:sz w:val="32"/>
          <w:szCs w:val="32"/>
          <w:highlight w:val="none"/>
          <w:lang w:eastAsia="zh-CN"/>
        </w:rPr>
        <w:t>沿线声环境执行《声环境质量标准》（GB 3096-2008）中</w:t>
      </w:r>
      <w:r>
        <w:rPr>
          <w:rFonts w:hint="eastAsia"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eastAsia="zh-CN"/>
        </w:rPr>
        <w:t>类标准</w:t>
      </w:r>
      <w:r>
        <w:rPr>
          <w:rFonts w:hint="eastAsia" w:ascii="仿宋_GB2312" w:hAnsi="Times New Roman" w:eastAsia="仿宋_GB2312" w:cs="宋体"/>
          <w:kern w:val="0"/>
          <w:sz w:val="32"/>
          <w:szCs w:val="32"/>
          <w:highlight w:val="none"/>
          <w:lang w:val="en-US" w:eastAsia="zh-CN" w:bidi="ar"/>
        </w:rPr>
        <w:t>（临街建筑以高于三层楼房以上(含三层)的建筑为主，第一排建筑物面向街道一侧范围内执行 4a类标准;临街建筑以低于三层楼房(含开阔地)的建筑为主，相邻区域为2类声环境功能区，道路边界外35米范围内执行4a类标准)</w:t>
      </w:r>
      <w:r>
        <w:rPr>
          <w:rFonts w:hint="eastAsia" w:ascii="仿宋_GB2312" w:hAnsi="Times New Roman" w:eastAsia="仿宋_GB2312" w:cs="宋体"/>
          <w:strike w:val="0"/>
          <w:dstrike w:val="0"/>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val="en-US" w:eastAsia="zh-CN"/>
        </w:rPr>
        <w:t>固废污染防治</w:t>
      </w:r>
      <w:r>
        <w:rPr>
          <w:rFonts w:hint="eastAsia" w:cs="仿宋_GB2312"/>
          <w:b w:val="0"/>
          <w:bCs w:val="0"/>
          <w:color w:val="auto"/>
          <w:sz w:val="32"/>
          <w:szCs w:val="32"/>
          <w:highlight w:val="none"/>
          <w:lang w:val="en-US" w:eastAsia="zh-CN"/>
        </w:rPr>
        <w:t>措施。</w:t>
      </w:r>
      <w:r>
        <w:rPr>
          <w:rFonts w:hint="eastAsia" w:ascii="仿宋_GB2312" w:eastAsia="仿宋_GB2312"/>
          <w:sz w:val="32"/>
          <w:szCs w:val="32"/>
          <w:highlight w:val="none"/>
        </w:rPr>
        <w:t>涉水桥墩</w:t>
      </w:r>
      <w:r>
        <w:rPr>
          <w:rFonts w:hint="eastAsia" w:ascii="仿宋_GB2312" w:eastAsia="仿宋_GB2312"/>
          <w:sz w:val="32"/>
          <w:szCs w:val="32"/>
          <w:highlight w:val="none"/>
          <w:lang w:eastAsia="zh-CN"/>
        </w:rPr>
        <w:t>施工产生的</w:t>
      </w:r>
      <w:r>
        <w:rPr>
          <w:rFonts w:hint="eastAsia" w:ascii="仿宋_GB2312" w:hAnsi="仿宋_GB2312" w:eastAsia="仿宋_GB2312" w:cs="仿宋_GB2312"/>
          <w:b w:val="0"/>
          <w:color w:val="auto"/>
          <w:kern w:val="2"/>
          <w:sz w:val="32"/>
          <w:szCs w:val="32"/>
          <w:highlight w:val="none"/>
          <w:lang w:val="zh-CN" w:eastAsia="zh-CN" w:bidi="ar-SA"/>
        </w:rPr>
        <w:t>废弃泥浆等，应固化处理后运送</w:t>
      </w:r>
      <w:r>
        <w:rPr>
          <w:rFonts w:hint="eastAsia" w:cs="仿宋_GB2312"/>
          <w:b w:val="0"/>
          <w:color w:val="auto"/>
          <w:kern w:val="2"/>
          <w:sz w:val="32"/>
          <w:szCs w:val="32"/>
          <w:highlight w:val="none"/>
          <w:lang w:val="zh-CN" w:eastAsia="zh-CN" w:bidi="ar-SA"/>
        </w:rPr>
        <w:t>至</w:t>
      </w:r>
      <w:r>
        <w:rPr>
          <w:rFonts w:hint="eastAsia" w:ascii="仿宋_GB2312" w:hAnsi="仿宋_GB2312" w:eastAsia="仿宋_GB2312" w:cs="仿宋_GB2312"/>
          <w:b w:val="0"/>
          <w:color w:val="auto"/>
          <w:kern w:val="2"/>
          <w:sz w:val="32"/>
          <w:szCs w:val="32"/>
          <w:highlight w:val="none"/>
          <w:lang w:val="zh-CN" w:eastAsia="zh-CN" w:bidi="ar-SA"/>
        </w:rPr>
        <w:t>指定地点处置，严禁向水体抛弃；</w:t>
      </w:r>
      <w:r>
        <w:rPr>
          <w:rFonts w:hint="eastAsia" w:ascii="仿宋_GB2312" w:hAnsi="仿宋_GB2312" w:eastAsia="仿宋_GB2312" w:cs="仿宋_GB2312"/>
          <w:color w:val="auto"/>
          <w:sz w:val="32"/>
          <w:szCs w:val="32"/>
          <w:highlight w:val="none"/>
          <w:lang w:val="en-US" w:eastAsia="zh-CN"/>
        </w:rPr>
        <w:t>余方按《福州市长乐区人民政府办公室关于印发&lt;福州市长乐区建设项目产生的砂石土管理实施意见（暂行）&gt;的通知》（长政办规[2022]7号）文件精神执行</w:t>
      </w:r>
      <w:r>
        <w:rPr>
          <w:rFonts w:hint="eastAsia" w:ascii="仿宋_GB2312" w:hAnsi="仿宋_GB2312" w:eastAsia="仿宋_GB2312" w:cs="仿宋_GB2312"/>
          <w:b w:val="0"/>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施工期生活垃圾定期委托环卫部门清运处理。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rPr>
      </w:pPr>
      <w:r>
        <w:rPr>
          <w:rFonts w:hint="eastAsia"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lang w:val="en-US" w:eastAsia="zh-CN"/>
        </w:rPr>
        <w:t>环境风险防范</w:t>
      </w:r>
      <w:r>
        <w:rPr>
          <w:rFonts w:hint="eastAsia" w:cs="仿宋_GB2312"/>
          <w:b w:val="0"/>
          <w:bCs w:val="0"/>
          <w:color w:val="auto"/>
          <w:sz w:val="32"/>
          <w:szCs w:val="32"/>
          <w:highlight w:val="none"/>
          <w:lang w:val="en-US" w:eastAsia="zh-CN"/>
        </w:rPr>
        <w:t>措施。</w:t>
      </w:r>
      <w:r>
        <w:rPr>
          <w:rFonts w:hint="eastAsia" w:ascii="仿宋_GB2312" w:eastAsia="仿宋_GB2312"/>
          <w:color w:val="auto"/>
          <w:sz w:val="32"/>
          <w:szCs w:val="32"/>
          <w:highlight w:val="none"/>
        </w:rPr>
        <w:t>设置限速行驶标志</w:t>
      </w:r>
      <w:r>
        <w:rPr>
          <w:rFonts w:hint="eastAsia"/>
          <w:color w:val="auto"/>
          <w:sz w:val="32"/>
          <w:szCs w:val="32"/>
          <w:highlight w:val="none"/>
          <w:lang w:eastAsia="zh-CN"/>
        </w:rPr>
        <w:t>、</w:t>
      </w:r>
      <w:r>
        <w:rPr>
          <w:rFonts w:hint="eastAsia" w:ascii="仿宋_GB2312" w:eastAsia="仿宋_GB2312"/>
          <w:color w:val="auto"/>
          <w:sz w:val="32"/>
          <w:szCs w:val="32"/>
          <w:highlight w:val="none"/>
        </w:rPr>
        <w:t>环境事故应急联系电话等警示牌</w:t>
      </w:r>
      <w:r>
        <w:rPr>
          <w:rFonts w:hint="eastAsia" w:ascii="仿宋_GB2312" w:eastAsia="仿宋_GB2312"/>
          <w:color w:val="auto"/>
          <w:sz w:val="32"/>
          <w:szCs w:val="32"/>
          <w:highlight w:val="none"/>
          <w:lang w:eastAsia="zh-CN"/>
        </w:rPr>
        <w:t>，强化</w:t>
      </w:r>
      <w:r>
        <w:rPr>
          <w:rFonts w:hint="eastAsia" w:ascii="仿宋_GB2312" w:eastAsia="仿宋_GB2312"/>
          <w:color w:val="auto"/>
          <w:sz w:val="32"/>
          <w:szCs w:val="32"/>
          <w:highlight w:val="none"/>
        </w:rPr>
        <w:t>D连接线</w:t>
      </w:r>
      <w:r>
        <w:rPr>
          <w:rFonts w:hint="eastAsia" w:ascii="仿宋_GB2312" w:eastAsia="仿宋_GB2312"/>
          <w:color w:val="auto"/>
          <w:sz w:val="32"/>
          <w:szCs w:val="32"/>
          <w:highlight w:val="none"/>
          <w:lang w:eastAsia="zh-CN"/>
        </w:rPr>
        <w:t>桥梁</w:t>
      </w:r>
      <w:r>
        <w:rPr>
          <w:rFonts w:hint="eastAsia" w:ascii="仿宋_GB2312" w:eastAsia="仿宋_GB2312"/>
          <w:color w:val="auto"/>
          <w:sz w:val="32"/>
          <w:szCs w:val="32"/>
          <w:highlight w:val="none"/>
        </w:rPr>
        <w:t>防撞护栏</w:t>
      </w:r>
      <w:r>
        <w:rPr>
          <w:rFonts w:hint="eastAsia" w:ascii="仿宋_GB2312" w:eastAsia="仿宋_GB2312"/>
          <w:color w:val="auto"/>
          <w:sz w:val="32"/>
          <w:szCs w:val="32"/>
          <w:highlight w:val="none"/>
          <w:lang w:eastAsia="zh-CN"/>
        </w:rPr>
        <w:t>等级，</w:t>
      </w:r>
      <w:r>
        <w:rPr>
          <w:rFonts w:hint="eastAsia" w:ascii="仿宋_GB2312" w:eastAsia="仿宋_GB2312"/>
          <w:color w:val="auto"/>
          <w:sz w:val="32"/>
          <w:szCs w:val="32"/>
          <w:highlight w:val="none"/>
        </w:rPr>
        <w:t>桥面按规范设置泄水管、排水管系统</w:t>
      </w:r>
      <w:r>
        <w:rPr>
          <w:rFonts w:hint="eastAsia" w:hAnsi="Times New Roman" w:cs="Times New Roman"/>
          <w:color w:val="auto"/>
          <w:sz w:val="32"/>
          <w:szCs w:val="32"/>
          <w:highlight w:val="none"/>
          <w:lang w:eastAsia="zh-CN"/>
        </w:rPr>
        <w:t>，及时</w:t>
      </w:r>
      <w:r>
        <w:rPr>
          <w:rFonts w:hint="eastAsia" w:ascii="仿宋_GB2312" w:hAnsi="Times New Roman" w:eastAsia="仿宋_GB2312" w:cs="Times New Roman"/>
          <w:color w:val="auto"/>
          <w:sz w:val="32"/>
          <w:szCs w:val="32"/>
          <w:highlight w:val="none"/>
          <w:lang w:eastAsia="zh-CN"/>
        </w:rPr>
        <w:t>编制突发环境事件应急预案并报生态环境部门备案</w:t>
      </w:r>
      <w:r>
        <w:rPr>
          <w:rFonts w:hint="eastAsia" w:hAnsi="Times New Roman" w:cs="Times New Roman"/>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napToGrid/>
        <w:spacing w:line="560" w:lineRule="exact"/>
        <w:ind w:right="0" w:rightChars="0"/>
        <w:textAlignment w:val="auto"/>
        <w:rPr>
          <w:rFonts w:hint="eastAsia"/>
          <w:lang w:val="en-US" w:eastAsia="zh-CN"/>
        </w:rPr>
      </w:pPr>
      <w:r>
        <w:rPr>
          <w:rFonts w:hint="eastAsia"/>
          <w:lang w:val="en-US" w:eastAsia="zh-CN"/>
        </w:rPr>
        <w:t>三、《报告书》批准后，</w:t>
      </w:r>
      <w:r>
        <w:rPr>
          <w:rFonts w:hint="eastAsia"/>
          <w:lang w:eastAsia="zh-CN"/>
        </w:rPr>
        <w:t>如建设项目的性质、规模、地点、采用的生产工艺或者防治污染、防止生态破坏的措施发生重大变动的，应当依法重新报批项目环评。《报告</w:t>
      </w:r>
      <w:r>
        <w:rPr>
          <w:rFonts w:hint="eastAsia"/>
          <w:lang w:val="en-US" w:eastAsia="zh-CN"/>
        </w:rPr>
        <w:t>书</w:t>
      </w:r>
      <w:r>
        <w:rPr>
          <w:rFonts w:hint="eastAsia"/>
          <w:lang w:eastAsia="zh-CN"/>
        </w:rPr>
        <w:t>》自批准之日起满5年，方开工建设的，项目环评应当依法报我局重新审核。</w:t>
      </w:r>
    </w:p>
    <w:p>
      <w:pPr>
        <w:keepNext w:val="0"/>
        <w:keepLines w:val="0"/>
        <w:pageBreakBefore w:val="0"/>
        <w:widowControl w:val="0"/>
        <w:kinsoku/>
        <w:overflowPunct/>
        <w:topLinePunct w:val="0"/>
        <w:autoSpaceDE/>
        <w:autoSpaceDN/>
        <w:bidi w:val="0"/>
        <w:adjustRightInd/>
        <w:snapToGrid/>
        <w:spacing w:line="560" w:lineRule="exact"/>
        <w:ind w:right="0" w:rightChars="0"/>
        <w:textAlignment w:val="auto"/>
        <w:rPr>
          <w:rFonts w:hint="eastAsia"/>
          <w:lang w:val="en-US" w:eastAsia="zh-CN"/>
        </w:rPr>
      </w:pPr>
      <w:r>
        <w:rPr>
          <w:rFonts w:hint="eastAsia"/>
          <w:lang w:val="en-US" w:eastAsia="zh-CN"/>
        </w:rPr>
        <w:t>四、</w:t>
      </w:r>
      <w:r>
        <w:rPr>
          <w:rFonts w:hint="eastAsia"/>
          <w:lang w:eastAsia="zh-CN"/>
        </w:rPr>
        <w:t>项目应加强环境管理，推进落实各项生态环境保护措施。</w:t>
      </w:r>
      <w:r>
        <w:rPr>
          <w:rFonts w:hint="eastAsia"/>
        </w:rPr>
        <w:t>严格执行</w:t>
      </w:r>
      <w:r>
        <w:rPr>
          <w:rFonts w:hint="eastAsia"/>
          <w:lang w:eastAsia="zh-CN"/>
        </w:rPr>
        <w:t>环境保护</w:t>
      </w:r>
      <w:r>
        <w:rPr>
          <w:rFonts w:hint="eastAsia"/>
        </w:rPr>
        <w:t>“三同时”制度</w:t>
      </w:r>
      <w:r>
        <w:rPr>
          <w:rFonts w:hint="eastAsia"/>
          <w:lang w:eastAsia="zh-CN"/>
        </w:rPr>
        <w:t>，加强施工期环境管理。</w:t>
      </w:r>
      <w:r>
        <w:rPr>
          <w:rFonts w:hint="eastAsia"/>
        </w:rPr>
        <w:t>竣工</w:t>
      </w:r>
      <w:r>
        <w:rPr>
          <w:rFonts w:hint="eastAsia"/>
          <w:lang w:eastAsia="zh-CN"/>
        </w:rPr>
        <w:t>后应按规定程序实施</w:t>
      </w:r>
      <w:r>
        <w:rPr>
          <w:rFonts w:hint="eastAsia"/>
        </w:rPr>
        <w:t>竣工环境保护验收。</w:t>
      </w:r>
    </w:p>
    <w:p>
      <w:pPr>
        <w:keepNext w:val="0"/>
        <w:keepLines w:val="0"/>
        <w:pageBreakBefore w:val="0"/>
        <w:widowControl w:val="0"/>
        <w:kinsoku/>
        <w:overflowPunct/>
        <w:topLinePunct w:val="0"/>
        <w:autoSpaceDE/>
        <w:autoSpaceDN/>
        <w:bidi w:val="0"/>
        <w:adjustRightInd/>
        <w:snapToGrid/>
        <w:spacing w:line="560" w:lineRule="exact"/>
        <w:ind w:right="0" w:rightChars="0"/>
        <w:textAlignment w:val="auto"/>
        <w:rPr>
          <w:rFonts w:hint="eastAsia"/>
          <w:highlight w:val="none"/>
        </w:rPr>
      </w:pPr>
      <w:r>
        <w:rPr>
          <w:rFonts w:hint="eastAsia"/>
          <w:lang w:val="en-US" w:eastAsia="zh-CN"/>
        </w:rPr>
        <w:t>五、我局委托福州市生态环境保护综合执法支队开展该项目环保“三同时”监督检查，由</w:t>
      </w:r>
      <w:r>
        <w:rPr>
          <w:rFonts w:hint="eastAsia"/>
          <w:highlight w:val="none"/>
          <w:lang w:val="en-US" w:eastAsia="zh-CN"/>
        </w:rPr>
        <w:t>福州市长乐生态环境局</w:t>
      </w:r>
      <w:r>
        <w:rPr>
          <w:rFonts w:hint="eastAsia"/>
          <w:lang w:val="en-US" w:eastAsia="zh-CN"/>
        </w:rPr>
        <w:t>负责该项目日常环保监督管理工作。</w:t>
      </w:r>
    </w:p>
    <w:p>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eastAsia"/>
          <w:highlight w:val="none"/>
        </w:rPr>
      </w:pPr>
    </w:p>
    <w:p>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eastAsia"/>
          <w:highlight w:val="none"/>
        </w:rPr>
      </w:pPr>
    </w:p>
    <w:p>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eastAsia"/>
          <w:highlight w:val="none"/>
          <w:lang w:val="en-US" w:eastAsia="zh-CN"/>
        </w:rPr>
      </w:pPr>
      <w:r>
        <w:rPr>
          <w:rFonts w:hint="eastAsia"/>
          <w:highlight w:val="none"/>
        </w:rPr>
        <w:t>福州市</w:t>
      </w:r>
      <w:r>
        <w:rPr>
          <w:rFonts w:hint="eastAsia"/>
          <w:highlight w:val="none"/>
          <w:lang w:eastAsia="zh-CN"/>
        </w:rPr>
        <w:t>生态环境局</w:t>
      </w:r>
      <w:r>
        <w:rPr>
          <w:rFonts w:hint="eastAsia"/>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eastAsia"/>
          <w:highlight w:val="none"/>
          <w:lang w:val="en-US" w:eastAsia="zh-CN"/>
        </w:rPr>
      </w:pPr>
      <w:r>
        <w:rPr>
          <w:rFonts w:hint="eastAsia"/>
          <w:highlight w:val="none"/>
        </w:rPr>
        <w:t>20</w:t>
      </w:r>
      <w:r>
        <w:rPr>
          <w:rFonts w:hint="eastAsia"/>
          <w:highlight w:val="none"/>
          <w:lang w:val="en-US" w:eastAsia="zh-CN"/>
        </w:rPr>
        <w:t>26</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14</w:t>
      </w:r>
      <w:r>
        <w:rPr>
          <w:rFonts w:hint="eastAsia"/>
          <w:highlight w:val="none"/>
        </w:rPr>
        <w:t>日</w:t>
      </w:r>
      <w:r>
        <w:rPr>
          <w:rFonts w:hint="eastAsia"/>
          <w:highlight w:val="none"/>
          <w:lang w:val="en-US" w:eastAsia="zh-CN"/>
        </w:rPr>
        <w:t xml:space="preserve">        </w:t>
      </w:r>
    </w:p>
    <w:tbl>
      <w:tblPr>
        <w:tblStyle w:val="15"/>
        <w:tblpPr w:horzAnchor="margin" w:tblpX="1" w:tblpYSpec="bottom"/>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16"/>
        <w:gridCol w:w="3274"/>
        <w:gridCol w:w="4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717" w:type="pct"/>
            <w:tcBorders>
              <w:left w:val="nil"/>
              <w:right w:val="nil"/>
            </w:tcBorders>
            <w:noWrap w:val="0"/>
            <w:vAlign w:val="top"/>
          </w:tcPr>
          <w:p>
            <w:pPr>
              <w:pStyle w:val="21"/>
              <w:keepNext w:val="0"/>
              <w:keepLines w:val="0"/>
              <w:pageBreakBefore w:val="0"/>
              <w:widowControl w:val="0"/>
              <w:kinsoku/>
              <w:overflowPunct/>
              <w:topLinePunct w:val="0"/>
              <w:autoSpaceDE/>
              <w:autoSpaceDN/>
              <w:bidi w:val="0"/>
              <w:adjustRightInd/>
              <w:snapToGrid/>
              <w:spacing w:line="560" w:lineRule="atLeast"/>
              <w:ind w:firstLine="280" w:firstLineChars="100"/>
              <w:jc w:val="left"/>
              <w:textAlignment w:val="auto"/>
              <w:rPr>
                <w:rFonts w:hint="eastAsia"/>
                <w:sz w:val="28"/>
                <w:szCs w:val="28"/>
                <w:highlight w:val="none"/>
                <w:lang w:val="en-US" w:eastAsia="zh-CN"/>
              </w:rPr>
            </w:pPr>
            <w:r>
              <w:rPr>
                <w:rFonts w:hint="eastAsia"/>
                <w:sz w:val="28"/>
                <w:szCs w:val="28"/>
                <w:highlight w:val="none"/>
              </w:rPr>
              <w:t>抄送：</w:t>
            </w:r>
          </w:p>
        </w:tc>
        <w:tc>
          <w:tcPr>
            <w:tcW w:w="4282" w:type="pct"/>
            <w:gridSpan w:val="2"/>
            <w:tcBorders>
              <w:left w:val="nil"/>
              <w:right w:val="nil"/>
            </w:tcBorders>
            <w:noWrap w:val="0"/>
            <w:vAlign w:val="top"/>
          </w:tcPr>
          <w:p>
            <w:pPr>
              <w:pStyle w:val="21"/>
              <w:keepNext w:val="0"/>
              <w:keepLines w:val="0"/>
              <w:pageBreakBefore w:val="0"/>
              <w:widowControl w:val="0"/>
              <w:kinsoku/>
              <w:overflowPunct/>
              <w:topLinePunct w:val="0"/>
              <w:autoSpaceDE/>
              <w:autoSpaceDN/>
              <w:bidi w:val="0"/>
              <w:adjustRightInd/>
              <w:snapToGrid/>
              <w:spacing w:line="560" w:lineRule="atLeast"/>
              <w:textAlignment w:val="auto"/>
              <w:rPr>
                <w:rFonts w:hint="eastAsia"/>
                <w:sz w:val="28"/>
                <w:szCs w:val="28"/>
                <w:highlight w:val="none"/>
                <w:lang w:val="en-US" w:eastAsia="zh-CN"/>
              </w:rPr>
            </w:pPr>
            <w:r>
              <w:rPr>
                <w:rFonts w:hint="eastAsia"/>
                <w:sz w:val="28"/>
                <w:szCs w:val="28"/>
                <w:highlight w:val="none"/>
                <w:lang w:eastAsia="zh-CN"/>
              </w:rPr>
              <w:t>局水处、生态处，</w:t>
            </w:r>
            <w:r>
              <w:rPr>
                <w:rFonts w:hint="eastAsia"/>
                <w:sz w:val="28"/>
                <w:szCs w:val="28"/>
                <w:highlight w:val="none"/>
              </w:rPr>
              <w:t>福州市生态环境保护综合执法支队，福州市环境影响评价技术中心，福州市</w:t>
            </w:r>
            <w:r>
              <w:rPr>
                <w:rFonts w:hint="eastAsia"/>
                <w:sz w:val="28"/>
                <w:szCs w:val="28"/>
                <w:highlight w:val="none"/>
                <w:lang w:eastAsia="zh-CN"/>
              </w:rPr>
              <w:t>长乐</w:t>
            </w:r>
            <w:r>
              <w:rPr>
                <w:rFonts w:hint="eastAsia"/>
                <w:sz w:val="28"/>
                <w:szCs w:val="28"/>
                <w:highlight w:val="none"/>
              </w:rPr>
              <w:t>生态环境局</w:t>
            </w:r>
            <w:r>
              <w:rPr>
                <w:rFonts w:hint="eastAsia"/>
                <w:sz w:val="28"/>
                <w:szCs w:val="28"/>
                <w:highlight w:val="none"/>
                <w:lang w:eastAsia="zh-CN"/>
              </w:rPr>
              <w:t>，福建省环境保护设计院有限公司。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500" w:type="pct"/>
            <w:gridSpan w:val="2"/>
            <w:tcBorders>
              <w:left w:val="nil"/>
              <w:right w:val="nil"/>
            </w:tcBorders>
            <w:noWrap w:val="0"/>
            <w:vAlign w:val="top"/>
          </w:tcPr>
          <w:p>
            <w:pPr>
              <w:pStyle w:val="21"/>
              <w:keepNext w:val="0"/>
              <w:keepLines w:val="0"/>
              <w:pageBreakBefore w:val="0"/>
              <w:widowControl w:val="0"/>
              <w:kinsoku/>
              <w:overflowPunct/>
              <w:topLinePunct w:val="0"/>
              <w:autoSpaceDE/>
              <w:autoSpaceDN/>
              <w:bidi w:val="0"/>
              <w:adjustRightInd/>
              <w:snapToGrid/>
              <w:spacing w:line="560" w:lineRule="atLeast"/>
              <w:ind w:firstLine="280" w:firstLineChars="100"/>
              <w:textAlignment w:val="auto"/>
              <w:rPr>
                <w:rFonts w:hint="eastAsia"/>
                <w:sz w:val="28"/>
                <w:szCs w:val="28"/>
                <w:highlight w:val="none"/>
                <w:lang w:val="en-US" w:eastAsia="zh-CN"/>
              </w:rPr>
            </w:pPr>
            <w:r>
              <w:rPr>
                <w:rFonts w:hint="eastAsia"/>
                <w:sz w:val="28"/>
                <w:szCs w:val="28"/>
                <w:highlight w:val="none"/>
              </w:rPr>
              <w:t>福州市</w:t>
            </w:r>
            <w:r>
              <w:rPr>
                <w:rFonts w:hint="eastAsia"/>
                <w:sz w:val="28"/>
                <w:szCs w:val="28"/>
                <w:highlight w:val="none"/>
                <w:lang w:eastAsia="zh-CN"/>
              </w:rPr>
              <w:t>生态环境</w:t>
            </w:r>
            <w:r>
              <w:rPr>
                <w:rFonts w:hint="eastAsia"/>
                <w:sz w:val="28"/>
                <w:szCs w:val="28"/>
                <w:highlight w:val="none"/>
              </w:rPr>
              <w:t>局</w:t>
            </w:r>
          </w:p>
        </w:tc>
        <w:tc>
          <w:tcPr>
            <w:tcW w:w="2499" w:type="pct"/>
            <w:tcBorders>
              <w:left w:val="nil"/>
              <w:right w:val="nil"/>
            </w:tcBorders>
            <w:noWrap w:val="0"/>
            <w:vAlign w:val="top"/>
          </w:tcPr>
          <w:p>
            <w:pPr>
              <w:pStyle w:val="21"/>
              <w:keepNext w:val="0"/>
              <w:keepLines w:val="0"/>
              <w:pageBreakBefore w:val="0"/>
              <w:widowControl w:val="0"/>
              <w:kinsoku/>
              <w:overflowPunct/>
              <w:topLinePunct w:val="0"/>
              <w:autoSpaceDE/>
              <w:autoSpaceDN/>
              <w:bidi w:val="0"/>
              <w:adjustRightInd/>
              <w:snapToGrid/>
              <w:spacing w:line="560" w:lineRule="atLeast"/>
              <w:jc w:val="right"/>
              <w:textAlignment w:val="auto"/>
              <w:rPr>
                <w:rFonts w:hint="eastAsia" w:eastAsia="仿宋_GB2312"/>
                <w:sz w:val="28"/>
                <w:szCs w:val="28"/>
                <w:highlight w:val="none"/>
                <w:lang w:val="en-US" w:eastAsia="zh-CN"/>
              </w:rPr>
            </w:pPr>
            <w:r>
              <w:rPr>
                <w:rFonts w:hint="eastAsia"/>
                <w:sz w:val="28"/>
                <w:szCs w:val="28"/>
                <w:highlight w:val="none"/>
              </w:rPr>
              <w:t>202</w:t>
            </w:r>
            <w:r>
              <w:rPr>
                <w:rFonts w:hint="eastAsia"/>
                <w:sz w:val="28"/>
                <w:szCs w:val="28"/>
                <w:highlight w:val="none"/>
                <w:lang w:val="en-US" w:eastAsia="zh-CN"/>
              </w:rPr>
              <w:t>6</w:t>
            </w:r>
            <w:r>
              <w:rPr>
                <w:rFonts w:hint="eastAsia"/>
                <w:sz w:val="28"/>
                <w:szCs w:val="28"/>
                <w:highlight w:val="none"/>
              </w:rPr>
              <w:t>年</w:t>
            </w:r>
            <w:r>
              <w:rPr>
                <w:rFonts w:hint="eastAsia"/>
                <w:sz w:val="28"/>
                <w:szCs w:val="28"/>
                <w:highlight w:val="none"/>
                <w:lang w:val="en-US" w:eastAsia="zh-CN"/>
              </w:rPr>
              <w:t>2</w:t>
            </w:r>
            <w:r>
              <w:rPr>
                <w:rFonts w:hint="eastAsia"/>
                <w:sz w:val="28"/>
                <w:szCs w:val="28"/>
                <w:highlight w:val="none"/>
              </w:rPr>
              <w:t>月</w:t>
            </w:r>
            <w:r>
              <w:rPr>
                <w:rFonts w:hint="eastAsia"/>
                <w:sz w:val="28"/>
                <w:szCs w:val="28"/>
                <w:highlight w:val="none"/>
                <w:lang w:val="en-US" w:eastAsia="zh-CN"/>
              </w:rPr>
              <w:t>14</w:t>
            </w:r>
            <w:r>
              <w:rPr>
                <w:rFonts w:hint="eastAsia"/>
                <w:sz w:val="28"/>
                <w:szCs w:val="28"/>
                <w:highlight w:val="none"/>
              </w:rPr>
              <w:t>日印发</w:t>
            </w:r>
            <w:r>
              <w:rPr>
                <w:rFonts w:hint="eastAsia"/>
                <w:sz w:val="28"/>
                <w:szCs w:val="28"/>
                <w:highlight w:val="no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val="0"/>
        <w:spacing w:line="520" w:lineRule="atLeast"/>
        <w:ind w:right="0" w:rightChars="0" w:firstLine="0" w:firstLineChars="0"/>
        <w:jc w:val="both"/>
        <w:textAlignment w:val="auto"/>
        <w:rPr>
          <w:rFonts w:hint="default"/>
          <w:color w:val="000000" w:themeColor="text1"/>
          <w:highlight w:val="none"/>
          <w:lang w:val="en-US" w:eastAsia="zh-CN"/>
          <w14:textFill>
            <w14:solidFill>
              <w14:schemeClr w14:val="tx1"/>
            </w14:solidFill>
          </w14:textFill>
        </w:rPr>
      </w:pPr>
    </w:p>
    <w:sectPr>
      <w:footerReference r:id="rId3" w:type="default"/>
      <w:footerReference r:id="rId4" w:type="even"/>
      <w:pgSz w:w="11906" w:h="16838"/>
      <w:pgMar w:top="1417" w:right="1417" w:bottom="1417" w:left="1417"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Calibri Light">
    <w:altName w:val="Calibri"/>
    <w:panose1 w:val="020F0302020204030204"/>
    <w:charset w:val="00"/>
    <w:family w:val="swiss"/>
    <w:pitch w:val="default"/>
    <w:sig w:usb0="00000000" w:usb1="00000000" w:usb2="00000000" w:usb3="00000000" w:csb0="2000019F"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pPr>
    <w:r>
      <w:fldChar w:fldCharType="begin"/>
    </w:r>
    <w:r>
      <w:instrText xml:space="preserve">PAGE  </w:instrText>
    </w:r>
    <w:r>
      <w:fldChar w:fldCharType="end"/>
    </w:r>
  </w:p>
  <w:p>
    <w:pPr>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32AC9"/>
    <w:multiLevelType w:val="multilevel"/>
    <w:tmpl w:val="41132AC9"/>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bCs w:val="0"/>
        <w:i w:val="0"/>
        <w:iCs w:val="0"/>
        <w:caps w:val="0"/>
        <w:smallCaps w:val="0"/>
        <w:strike w:val="0"/>
        <w:dstrike w:val="0"/>
        <w:color w:val="000000"/>
        <w:spacing w:val="0"/>
        <w:position w:val="0"/>
        <w:u w:val="none"/>
      </w:rPr>
    </w:lvl>
    <w:lvl w:ilvl="3" w:tentative="0">
      <w:start w:val="1"/>
      <w:numFmt w:val="decimal"/>
      <w:pStyle w:val="6"/>
      <w:suff w:val="space"/>
      <w:lvlText w:val="%1.%2.%3.%4"/>
      <w:lvlJc w:val="left"/>
      <w:pPr>
        <w:ind w:left="0" w:firstLine="0"/>
      </w:pPr>
      <w:rPr>
        <w:rFonts w:hint="eastAsia" w:ascii="Times New Roman" w:hAnsi="Times New Roman" w:cs="Times New Roman"/>
        <w:b/>
        <w:bCs w:val="0"/>
        <w:i w:val="0"/>
        <w:iCs w:val="0"/>
        <w:caps w:val="0"/>
        <w:smallCaps w:val="0"/>
        <w:strike w:val="0"/>
        <w:dstrike w:val="0"/>
        <w:color w:val="000000"/>
        <w:spacing w:val="0"/>
        <w:position w:val="0"/>
        <w:u w:val="none"/>
      </w:rPr>
    </w:lvl>
    <w:lvl w:ilvl="4" w:tentative="0">
      <w:start w:val="1"/>
      <w:numFmt w:val="decimal"/>
      <w:lvlText w:val="%1.%2.%3.%4.%5"/>
      <w:lvlJc w:val="left"/>
      <w:pPr>
        <w:tabs>
          <w:tab w:val="left" w:pos="720"/>
        </w:tabs>
        <w:ind w:left="720" w:firstLine="0"/>
      </w:pPr>
      <w:rPr>
        <w:rFonts w:hint="eastAsia" w:ascii="Times New Roman" w:hAnsi="Times New Roman" w:cs="Times New Roman"/>
        <w:b w:val="0"/>
        <w:bCs w:val="0"/>
        <w:i w:val="0"/>
        <w:iCs w:val="0"/>
        <w:caps w:val="0"/>
        <w:smallCaps w:val="0"/>
        <w:strike w:val="0"/>
        <w:dstrike w:val="0"/>
        <w:color w:val="000000"/>
        <w:spacing w:val="0"/>
        <w:position w:val="0"/>
        <w:u w:val="no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NDM5NTI3YTI2MzU0NTA3MzliODM2N2FlYTc2NjYifQ=="/>
  </w:docVars>
  <w:rsids>
    <w:rsidRoot w:val="00172A27"/>
    <w:rsid w:val="00285502"/>
    <w:rsid w:val="002D2788"/>
    <w:rsid w:val="00733C95"/>
    <w:rsid w:val="00DC19CB"/>
    <w:rsid w:val="012415C2"/>
    <w:rsid w:val="01423F24"/>
    <w:rsid w:val="017B4BBD"/>
    <w:rsid w:val="01A7022B"/>
    <w:rsid w:val="01D1680C"/>
    <w:rsid w:val="01D55B47"/>
    <w:rsid w:val="01EE5E5A"/>
    <w:rsid w:val="01F6165D"/>
    <w:rsid w:val="02034E19"/>
    <w:rsid w:val="02087A20"/>
    <w:rsid w:val="021C6C6C"/>
    <w:rsid w:val="02681D8C"/>
    <w:rsid w:val="02A91D81"/>
    <w:rsid w:val="02F373A7"/>
    <w:rsid w:val="03995481"/>
    <w:rsid w:val="03AD58A1"/>
    <w:rsid w:val="03CB7B24"/>
    <w:rsid w:val="043A5387"/>
    <w:rsid w:val="044C024B"/>
    <w:rsid w:val="044E3BDF"/>
    <w:rsid w:val="046E4052"/>
    <w:rsid w:val="04D706D5"/>
    <w:rsid w:val="04E87704"/>
    <w:rsid w:val="051316C9"/>
    <w:rsid w:val="05360CF3"/>
    <w:rsid w:val="05614C7A"/>
    <w:rsid w:val="059B31F8"/>
    <w:rsid w:val="05A9624A"/>
    <w:rsid w:val="05EA0EE8"/>
    <w:rsid w:val="05EC03F0"/>
    <w:rsid w:val="06911288"/>
    <w:rsid w:val="06F42B68"/>
    <w:rsid w:val="07627F61"/>
    <w:rsid w:val="07857BC5"/>
    <w:rsid w:val="07872AC0"/>
    <w:rsid w:val="07921E93"/>
    <w:rsid w:val="07A01A45"/>
    <w:rsid w:val="07E643A6"/>
    <w:rsid w:val="08067F20"/>
    <w:rsid w:val="08592B0D"/>
    <w:rsid w:val="088A04F0"/>
    <w:rsid w:val="08991F59"/>
    <w:rsid w:val="08D31906"/>
    <w:rsid w:val="08F70236"/>
    <w:rsid w:val="09017F7A"/>
    <w:rsid w:val="09290201"/>
    <w:rsid w:val="09682A4F"/>
    <w:rsid w:val="096F7A09"/>
    <w:rsid w:val="097525E3"/>
    <w:rsid w:val="09AE6015"/>
    <w:rsid w:val="09CD427B"/>
    <w:rsid w:val="09F31D9F"/>
    <w:rsid w:val="0A144C68"/>
    <w:rsid w:val="0A1F7296"/>
    <w:rsid w:val="0A374430"/>
    <w:rsid w:val="0A3C63D0"/>
    <w:rsid w:val="0A4F7B1C"/>
    <w:rsid w:val="0BD02354"/>
    <w:rsid w:val="0C312BFA"/>
    <w:rsid w:val="0C8073F8"/>
    <w:rsid w:val="0CA35B13"/>
    <w:rsid w:val="0D750F31"/>
    <w:rsid w:val="0DD45D4E"/>
    <w:rsid w:val="0E140D02"/>
    <w:rsid w:val="0E3A1F14"/>
    <w:rsid w:val="0E865C80"/>
    <w:rsid w:val="0EB47119"/>
    <w:rsid w:val="0EEC178F"/>
    <w:rsid w:val="0F0C76AB"/>
    <w:rsid w:val="0F1E5FBE"/>
    <w:rsid w:val="0F6C5953"/>
    <w:rsid w:val="0F7D61F5"/>
    <w:rsid w:val="0FC07E01"/>
    <w:rsid w:val="10262D87"/>
    <w:rsid w:val="105F163E"/>
    <w:rsid w:val="10960840"/>
    <w:rsid w:val="10C15A17"/>
    <w:rsid w:val="11EE50AB"/>
    <w:rsid w:val="12100067"/>
    <w:rsid w:val="12321614"/>
    <w:rsid w:val="12F82368"/>
    <w:rsid w:val="13095FB3"/>
    <w:rsid w:val="132F0080"/>
    <w:rsid w:val="13433851"/>
    <w:rsid w:val="136E2957"/>
    <w:rsid w:val="139042E6"/>
    <w:rsid w:val="1393060F"/>
    <w:rsid w:val="13CF3A9D"/>
    <w:rsid w:val="14115C0D"/>
    <w:rsid w:val="141C6857"/>
    <w:rsid w:val="14470016"/>
    <w:rsid w:val="14647F10"/>
    <w:rsid w:val="149C2744"/>
    <w:rsid w:val="14A95C11"/>
    <w:rsid w:val="14C40C02"/>
    <w:rsid w:val="14E56EB1"/>
    <w:rsid w:val="14E833C5"/>
    <w:rsid w:val="14EF6AF2"/>
    <w:rsid w:val="15202377"/>
    <w:rsid w:val="15353F94"/>
    <w:rsid w:val="15636A11"/>
    <w:rsid w:val="15864CBE"/>
    <w:rsid w:val="158B717A"/>
    <w:rsid w:val="15A30A8C"/>
    <w:rsid w:val="15AB0040"/>
    <w:rsid w:val="15F874A1"/>
    <w:rsid w:val="160B5ABA"/>
    <w:rsid w:val="16394E85"/>
    <w:rsid w:val="16590C32"/>
    <w:rsid w:val="16BF796D"/>
    <w:rsid w:val="16D60828"/>
    <w:rsid w:val="16E641C4"/>
    <w:rsid w:val="17203A97"/>
    <w:rsid w:val="17696FE0"/>
    <w:rsid w:val="177C2B6D"/>
    <w:rsid w:val="17B42592"/>
    <w:rsid w:val="17DD0A63"/>
    <w:rsid w:val="17F77252"/>
    <w:rsid w:val="18125C7A"/>
    <w:rsid w:val="18777AFA"/>
    <w:rsid w:val="188A223C"/>
    <w:rsid w:val="1892516D"/>
    <w:rsid w:val="18D766FA"/>
    <w:rsid w:val="194045ED"/>
    <w:rsid w:val="19763B91"/>
    <w:rsid w:val="19B17A41"/>
    <w:rsid w:val="19DD3EF8"/>
    <w:rsid w:val="19F73E81"/>
    <w:rsid w:val="1A8C2A62"/>
    <w:rsid w:val="1AF04599"/>
    <w:rsid w:val="1B0C5089"/>
    <w:rsid w:val="1B2F580A"/>
    <w:rsid w:val="1B3A4B23"/>
    <w:rsid w:val="1B676D5F"/>
    <w:rsid w:val="1B7B2A2A"/>
    <w:rsid w:val="1BA12863"/>
    <w:rsid w:val="1BAD4F54"/>
    <w:rsid w:val="1BB05AD7"/>
    <w:rsid w:val="1BE97638"/>
    <w:rsid w:val="1BF55770"/>
    <w:rsid w:val="1C06075E"/>
    <w:rsid w:val="1C3E3371"/>
    <w:rsid w:val="1C770AC4"/>
    <w:rsid w:val="1CA03525"/>
    <w:rsid w:val="1CAC3741"/>
    <w:rsid w:val="1D6762C4"/>
    <w:rsid w:val="1DB9579F"/>
    <w:rsid w:val="1DFB08D0"/>
    <w:rsid w:val="1E2A1857"/>
    <w:rsid w:val="1E6C5ADB"/>
    <w:rsid w:val="1EB55A71"/>
    <w:rsid w:val="1EC90F46"/>
    <w:rsid w:val="1EFA7794"/>
    <w:rsid w:val="1F165581"/>
    <w:rsid w:val="1F7040EE"/>
    <w:rsid w:val="1FC42DC7"/>
    <w:rsid w:val="1FFA3FF9"/>
    <w:rsid w:val="20027E8A"/>
    <w:rsid w:val="2060293B"/>
    <w:rsid w:val="20915ED7"/>
    <w:rsid w:val="209F7DAC"/>
    <w:rsid w:val="20D73A5A"/>
    <w:rsid w:val="21143B4C"/>
    <w:rsid w:val="21325C72"/>
    <w:rsid w:val="2137097C"/>
    <w:rsid w:val="21B749D0"/>
    <w:rsid w:val="21E81F4C"/>
    <w:rsid w:val="21FE726F"/>
    <w:rsid w:val="22057C02"/>
    <w:rsid w:val="2214244A"/>
    <w:rsid w:val="22181FF2"/>
    <w:rsid w:val="2224602D"/>
    <w:rsid w:val="225A7C8A"/>
    <w:rsid w:val="226002D5"/>
    <w:rsid w:val="22BA2122"/>
    <w:rsid w:val="22D54F67"/>
    <w:rsid w:val="23925D1D"/>
    <w:rsid w:val="23D37805"/>
    <w:rsid w:val="247F4FF4"/>
    <w:rsid w:val="24D85EEB"/>
    <w:rsid w:val="255D78A2"/>
    <w:rsid w:val="25634F98"/>
    <w:rsid w:val="257974D5"/>
    <w:rsid w:val="25916AA4"/>
    <w:rsid w:val="25D65D28"/>
    <w:rsid w:val="25D8787E"/>
    <w:rsid w:val="260B587A"/>
    <w:rsid w:val="26117FA0"/>
    <w:rsid w:val="262275D1"/>
    <w:rsid w:val="263C1438"/>
    <w:rsid w:val="26E0338E"/>
    <w:rsid w:val="26EC2707"/>
    <w:rsid w:val="270D7D6E"/>
    <w:rsid w:val="271B2112"/>
    <w:rsid w:val="273D3CE1"/>
    <w:rsid w:val="273F2C22"/>
    <w:rsid w:val="273F5085"/>
    <w:rsid w:val="27777B13"/>
    <w:rsid w:val="27C7045C"/>
    <w:rsid w:val="27DC2B23"/>
    <w:rsid w:val="280C6F05"/>
    <w:rsid w:val="281B0309"/>
    <w:rsid w:val="283178CB"/>
    <w:rsid w:val="288F5D7B"/>
    <w:rsid w:val="289B7569"/>
    <w:rsid w:val="28AA153E"/>
    <w:rsid w:val="28FC341A"/>
    <w:rsid w:val="2A1C69F8"/>
    <w:rsid w:val="2A8B4E09"/>
    <w:rsid w:val="2A9D4879"/>
    <w:rsid w:val="2AA14CA8"/>
    <w:rsid w:val="2AC121DF"/>
    <w:rsid w:val="2AD14B31"/>
    <w:rsid w:val="2AD57C80"/>
    <w:rsid w:val="2AF10F5C"/>
    <w:rsid w:val="2B0C7BEA"/>
    <w:rsid w:val="2B65243A"/>
    <w:rsid w:val="2B7649BE"/>
    <w:rsid w:val="2B833315"/>
    <w:rsid w:val="2BAA6116"/>
    <w:rsid w:val="2BE95FAD"/>
    <w:rsid w:val="2C387E6F"/>
    <w:rsid w:val="2C421C7B"/>
    <w:rsid w:val="2C5D61AC"/>
    <w:rsid w:val="2C855069"/>
    <w:rsid w:val="2CA43435"/>
    <w:rsid w:val="2CDF5A47"/>
    <w:rsid w:val="2D000B7F"/>
    <w:rsid w:val="2D280BC1"/>
    <w:rsid w:val="2D3E15A4"/>
    <w:rsid w:val="2D9A22EF"/>
    <w:rsid w:val="2DD0519A"/>
    <w:rsid w:val="2E20215E"/>
    <w:rsid w:val="2E4072AA"/>
    <w:rsid w:val="2E521804"/>
    <w:rsid w:val="2E5D640D"/>
    <w:rsid w:val="2E7A2EB2"/>
    <w:rsid w:val="2E82340D"/>
    <w:rsid w:val="2E9D5498"/>
    <w:rsid w:val="2E9F3BE2"/>
    <w:rsid w:val="2F67058E"/>
    <w:rsid w:val="2F7C3F50"/>
    <w:rsid w:val="2F8F7792"/>
    <w:rsid w:val="30221FB4"/>
    <w:rsid w:val="302A5494"/>
    <w:rsid w:val="304A7159"/>
    <w:rsid w:val="304B1338"/>
    <w:rsid w:val="30AB6B41"/>
    <w:rsid w:val="30EE6CA3"/>
    <w:rsid w:val="30F069FA"/>
    <w:rsid w:val="30F83409"/>
    <w:rsid w:val="30FB32F8"/>
    <w:rsid w:val="317B4B1E"/>
    <w:rsid w:val="32052280"/>
    <w:rsid w:val="32CB349B"/>
    <w:rsid w:val="32E4458C"/>
    <w:rsid w:val="32FB783E"/>
    <w:rsid w:val="33071ADC"/>
    <w:rsid w:val="33405C86"/>
    <w:rsid w:val="334E34FC"/>
    <w:rsid w:val="33520B64"/>
    <w:rsid w:val="335A1288"/>
    <w:rsid w:val="336660D1"/>
    <w:rsid w:val="3401422B"/>
    <w:rsid w:val="341A5D77"/>
    <w:rsid w:val="3455090A"/>
    <w:rsid w:val="346A2584"/>
    <w:rsid w:val="34BB7587"/>
    <w:rsid w:val="34BD1541"/>
    <w:rsid w:val="34C42AA8"/>
    <w:rsid w:val="34C70C8A"/>
    <w:rsid w:val="34D038C0"/>
    <w:rsid w:val="35051296"/>
    <w:rsid w:val="35226149"/>
    <w:rsid w:val="35226409"/>
    <w:rsid w:val="355510D6"/>
    <w:rsid w:val="35614F37"/>
    <w:rsid w:val="356710AC"/>
    <w:rsid w:val="35916E07"/>
    <w:rsid w:val="359A757A"/>
    <w:rsid w:val="3631346C"/>
    <w:rsid w:val="366E2AEA"/>
    <w:rsid w:val="36767719"/>
    <w:rsid w:val="368F1EED"/>
    <w:rsid w:val="36BA77F2"/>
    <w:rsid w:val="36C56525"/>
    <w:rsid w:val="36EB32A4"/>
    <w:rsid w:val="36F02A16"/>
    <w:rsid w:val="373240D5"/>
    <w:rsid w:val="374C17F7"/>
    <w:rsid w:val="377A54BF"/>
    <w:rsid w:val="37F237F8"/>
    <w:rsid w:val="37F877E0"/>
    <w:rsid w:val="3836588A"/>
    <w:rsid w:val="3860185A"/>
    <w:rsid w:val="389F6C5E"/>
    <w:rsid w:val="390B59DF"/>
    <w:rsid w:val="39364032"/>
    <w:rsid w:val="399251D2"/>
    <w:rsid w:val="39E843EE"/>
    <w:rsid w:val="39F14134"/>
    <w:rsid w:val="3A2A69FC"/>
    <w:rsid w:val="3A496523"/>
    <w:rsid w:val="3A7033B3"/>
    <w:rsid w:val="3A867BB1"/>
    <w:rsid w:val="3AA75770"/>
    <w:rsid w:val="3B5B73B5"/>
    <w:rsid w:val="3B950B19"/>
    <w:rsid w:val="3BBC1D7C"/>
    <w:rsid w:val="3C0C5739"/>
    <w:rsid w:val="3C371BD0"/>
    <w:rsid w:val="3C665805"/>
    <w:rsid w:val="3C805325"/>
    <w:rsid w:val="3D9A2417"/>
    <w:rsid w:val="3DA26822"/>
    <w:rsid w:val="3DB86DD6"/>
    <w:rsid w:val="3DDC2BB6"/>
    <w:rsid w:val="3DE06A0F"/>
    <w:rsid w:val="3E771221"/>
    <w:rsid w:val="3EC87493"/>
    <w:rsid w:val="3ECA6D2C"/>
    <w:rsid w:val="3F363F8B"/>
    <w:rsid w:val="3F824E8C"/>
    <w:rsid w:val="3F8C13A2"/>
    <w:rsid w:val="3FBE3C9E"/>
    <w:rsid w:val="407A1888"/>
    <w:rsid w:val="40811207"/>
    <w:rsid w:val="4089777C"/>
    <w:rsid w:val="408A3C30"/>
    <w:rsid w:val="409F7D44"/>
    <w:rsid w:val="40C913D4"/>
    <w:rsid w:val="40CC5DE9"/>
    <w:rsid w:val="40F679C1"/>
    <w:rsid w:val="410E3E35"/>
    <w:rsid w:val="41534C28"/>
    <w:rsid w:val="41A650C0"/>
    <w:rsid w:val="41D10E53"/>
    <w:rsid w:val="41DD6A83"/>
    <w:rsid w:val="41E87F50"/>
    <w:rsid w:val="41E9719C"/>
    <w:rsid w:val="421676EB"/>
    <w:rsid w:val="42371BC0"/>
    <w:rsid w:val="42A11B51"/>
    <w:rsid w:val="42A94EAA"/>
    <w:rsid w:val="43100811"/>
    <w:rsid w:val="43434E2E"/>
    <w:rsid w:val="435E5746"/>
    <w:rsid w:val="437159C8"/>
    <w:rsid w:val="43AC79FF"/>
    <w:rsid w:val="43D60E26"/>
    <w:rsid w:val="444B22B5"/>
    <w:rsid w:val="44695E5B"/>
    <w:rsid w:val="447314CE"/>
    <w:rsid w:val="44865664"/>
    <w:rsid w:val="448E3562"/>
    <w:rsid w:val="44F945DA"/>
    <w:rsid w:val="45384445"/>
    <w:rsid w:val="453F5652"/>
    <w:rsid w:val="458C75D8"/>
    <w:rsid w:val="45A904AC"/>
    <w:rsid w:val="45A9090B"/>
    <w:rsid w:val="460D2E36"/>
    <w:rsid w:val="463D0E74"/>
    <w:rsid w:val="46806BA4"/>
    <w:rsid w:val="46905A4C"/>
    <w:rsid w:val="46A97923"/>
    <w:rsid w:val="46C2744B"/>
    <w:rsid w:val="46C93599"/>
    <w:rsid w:val="46CD505E"/>
    <w:rsid w:val="4708409D"/>
    <w:rsid w:val="47BE1C5C"/>
    <w:rsid w:val="486377BD"/>
    <w:rsid w:val="48A155A1"/>
    <w:rsid w:val="48A26146"/>
    <w:rsid w:val="48E17742"/>
    <w:rsid w:val="49690EEF"/>
    <w:rsid w:val="49835FF6"/>
    <w:rsid w:val="49934965"/>
    <w:rsid w:val="499E03EC"/>
    <w:rsid w:val="49BC54C3"/>
    <w:rsid w:val="49CD0C90"/>
    <w:rsid w:val="4A0E3C60"/>
    <w:rsid w:val="4A17247D"/>
    <w:rsid w:val="4A7077B2"/>
    <w:rsid w:val="4A767948"/>
    <w:rsid w:val="4A8E1FAD"/>
    <w:rsid w:val="4A987224"/>
    <w:rsid w:val="4C1027F5"/>
    <w:rsid w:val="4C140938"/>
    <w:rsid w:val="4C4869B3"/>
    <w:rsid w:val="4C670FC4"/>
    <w:rsid w:val="4C811A39"/>
    <w:rsid w:val="4D187B9C"/>
    <w:rsid w:val="4D4D782C"/>
    <w:rsid w:val="4D5F00C6"/>
    <w:rsid w:val="4DC94652"/>
    <w:rsid w:val="4DDE1B7F"/>
    <w:rsid w:val="4E0A0EF3"/>
    <w:rsid w:val="4E0B6B58"/>
    <w:rsid w:val="4E34569A"/>
    <w:rsid w:val="4E553227"/>
    <w:rsid w:val="4E663285"/>
    <w:rsid w:val="4EA41E49"/>
    <w:rsid w:val="4EDA6CE4"/>
    <w:rsid w:val="4EE65F3F"/>
    <w:rsid w:val="4EF704A2"/>
    <w:rsid w:val="4F17434B"/>
    <w:rsid w:val="4F867E4E"/>
    <w:rsid w:val="4FB13998"/>
    <w:rsid w:val="504A7CCC"/>
    <w:rsid w:val="505A6944"/>
    <w:rsid w:val="50611DAF"/>
    <w:rsid w:val="506F4243"/>
    <w:rsid w:val="5089670A"/>
    <w:rsid w:val="50DD5D75"/>
    <w:rsid w:val="51E647F7"/>
    <w:rsid w:val="520533FB"/>
    <w:rsid w:val="52143AFD"/>
    <w:rsid w:val="522B3DE7"/>
    <w:rsid w:val="52555569"/>
    <w:rsid w:val="52F91162"/>
    <w:rsid w:val="52FC2DD4"/>
    <w:rsid w:val="53105744"/>
    <w:rsid w:val="53190FD9"/>
    <w:rsid w:val="53603F71"/>
    <w:rsid w:val="53765A26"/>
    <w:rsid w:val="53795DEA"/>
    <w:rsid w:val="53954603"/>
    <w:rsid w:val="5398647F"/>
    <w:rsid w:val="546F2AEB"/>
    <w:rsid w:val="54CE3C4A"/>
    <w:rsid w:val="552A623B"/>
    <w:rsid w:val="55411B42"/>
    <w:rsid w:val="5579019D"/>
    <w:rsid w:val="559F7E89"/>
    <w:rsid w:val="55B81234"/>
    <w:rsid w:val="55BC3AD1"/>
    <w:rsid w:val="5611243C"/>
    <w:rsid w:val="565C381F"/>
    <w:rsid w:val="56723939"/>
    <w:rsid w:val="56752603"/>
    <w:rsid w:val="56B03064"/>
    <w:rsid w:val="56BD1629"/>
    <w:rsid w:val="56FB049E"/>
    <w:rsid w:val="5773796F"/>
    <w:rsid w:val="579932E7"/>
    <w:rsid w:val="57B719BC"/>
    <w:rsid w:val="57C65626"/>
    <w:rsid w:val="57E478CE"/>
    <w:rsid w:val="588C0756"/>
    <w:rsid w:val="58B55C87"/>
    <w:rsid w:val="58E45F93"/>
    <w:rsid w:val="58E73667"/>
    <w:rsid w:val="590929B0"/>
    <w:rsid w:val="591A79B6"/>
    <w:rsid w:val="59404E79"/>
    <w:rsid w:val="595F65D1"/>
    <w:rsid w:val="59821989"/>
    <w:rsid w:val="59B143F5"/>
    <w:rsid w:val="59B70E38"/>
    <w:rsid w:val="59F754D4"/>
    <w:rsid w:val="5A2447F3"/>
    <w:rsid w:val="5A39015A"/>
    <w:rsid w:val="5A600D7D"/>
    <w:rsid w:val="5A663C6D"/>
    <w:rsid w:val="5AF116BD"/>
    <w:rsid w:val="5AFC50AF"/>
    <w:rsid w:val="5B4F712A"/>
    <w:rsid w:val="5BA81DEA"/>
    <w:rsid w:val="5BB416EF"/>
    <w:rsid w:val="5BBB04C9"/>
    <w:rsid w:val="5C02145B"/>
    <w:rsid w:val="5C0F33DD"/>
    <w:rsid w:val="5C1E2DC4"/>
    <w:rsid w:val="5C500C07"/>
    <w:rsid w:val="5C591D09"/>
    <w:rsid w:val="5CB762E9"/>
    <w:rsid w:val="5D014BFA"/>
    <w:rsid w:val="5D194829"/>
    <w:rsid w:val="5D260F2D"/>
    <w:rsid w:val="5D6B68D5"/>
    <w:rsid w:val="5D8442C9"/>
    <w:rsid w:val="5DA66549"/>
    <w:rsid w:val="5DFD637E"/>
    <w:rsid w:val="5E703193"/>
    <w:rsid w:val="5E917EAA"/>
    <w:rsid w:val="5EB60FE2"/>
    <w:rsid w:val="5ECA634C"/>
    <w:rsid w:val="5EF452EC"/>
    <w:rsid w:val="5F27080E"/>
    <w:rsid w:val="5F2D4723"/>
    <w:rsid w:val="5F313E05"/>
    <w:rsid w:val="5F3E17D5"/>
    <w:rsid w:val="5F71128A"/>
    <w:rsid w:val="5F9347C8"/>
    <w:rsid w:val="5FEA2220"/>
    <w:rsid w:val="6045671D"/>
    <w:rsid w:val="606D04A3"/>
    <w:rsid w:val="60AB3A08"/>
    <w:rsid w:val="60D3786A"/>
    <w:rsid w:val="61052DF9"/>
    <w:rsid w:val="6130229A"/>
    <w:rsid w:val="61363955"/>
    <w:rsid w:val="61572249"/>
    <w:rsid w:val="6256228E"/>
    <w:rsid w:val="62853361"/>
    <w:rsid w:val="62B831C1"/>
    <w:rsid w:val="62BA4BEA"/>
    <w:rsid w:val="62CF68EA"/>
    <w:rsid w:val="63715BA8"/>
    <w:rsid w:val="63800D2E"/>
    <w:rsid w:val="63C91E94"/>
    <w:rsid w:val="64370110"/>
    <w:rsid w:val="643E32B9"/>
    <w:rsid w:val="64D14E08"/>
    <w:rsid w:val="65627461"/>
    <w:rsid w:val="65C43C25"/>
    <w:rsid w:val="65CA32A0"/>
    <w:rsid w:val="65E77401"/>
    <w:rsid w:val="65FC33BF"/>
    <w:rsid w:val="66AA7F8F"/>
    <w:rsid w:val="66E612EE"/>
    <w:rsid w:val="66E63C24"/>
    <w:rsid w:val="671007B9"/>
    <w:rsid w:val="67391E88"/>
    <w:rsid w:val="675863D3"/>
    <w:rsid w:val="675D7CB8"/>
    <w:rsid w:val="67A41370"/>
    <w:rsid w:val="67A755AC"/>
    <w:rsid w:val="68272D07"/>
    <w:rsid w:val="68B07C80"/>
    <w:rsid w:val="68D565A8"/>
    <w:rsid w:val="69AE7235"/>
    <w:rsid w:val="69D54F09"/>
    <w:rsid w:val="69EB0C64"/>
    <w:rsid w:val="6A147573"/>
    <w:rsid w:val="6A3F33A9"/>
    <w:rsid w:val="6A795B01"/>
    <w:rsid w:val="6A7B2288"/>
    <w:rsid w:val="6AD965D0"/>
    <w:rsid w:val="6AE57CC7"/>
    <w:rsid w:val="6AFC6EF7"/>
    <w:rsid w:val="6B384575"/>
    <w:rsid w:val="6B570121"/>
    <w:rsid w:val="6B637032"/>
    <w:rsid w:val="6B6A4787"/>
    <w:rsid w:val="6B7752F2"/>
    <w:rsid w:val="6BDB475D"/>
    <w:rsid w:val="6BFF1D07"/>
    <w:rsid w:val="6C2151AA"/>
    <w:rsid w:val="6CC23F43"/>
    <w:rsid w:val="6CC24944"/>
    <w:rsid w:val="6CE71FCB"/>
    <w:rsid w:val="6D013069"/>
    <w:rsid w:val="6D703160"/>
    <w:rsid w:val="6E7B26F0"/>
    <w:rsid w:val="6E907650"/>
    <w:rsid w:val="6EAA69C0"/>
    <w:rsid w:val="6EBB68D3"/>
    <w:rsid w:val="6EEA6F2E"/>
    <w:rsid w:val="6F3D0E01"/>
    <w:rsid w:val="6F5A6006"/>
    <w:rsid w:val="6F8C0561"/>
    <w:rsid w:val="6FA50623"/>
    <w:rsid w:val="6FBB353C"/>
    <w:rsid w:val="6FF40792"/>
    <w:rsid w:val="701570FF"/>
    <w:rsid w:val="705219E6"/>
    <w:rsid w:val="706359C1"/>
    <w:rsid w:val="707352C8"/>
    <w:rsid w:val="708F5FDD"/>
    <w:rsid w:val="70B54C51"/>
    <w:rsid w:val="70D22AF0"/>
    <w:rsid w:val="713F4F2F"/>
    <w:rsid w:val="719B0488"/>
    <w:rsid w:val="71B66B18"/>
    <w:rsid w:val="71C4090A"/>
    <w:rsid w:val="71D17800"/>
    <w:rsid w:val="72504B83"/>
    <w:rsid w:val="727916F5"/>
    <w:rsid w:val="73090EC9"/>
    <w:rsid w:val="7375030D"/>
    <w:rsid w:val="73C2117C"/>
    <w:rsid w:val="73E86ED0"/>
    <w:rsid w:val="74167DE3"/>
    <w:rsid w:val="7472484C"/>
    <w:rsid w:val="747B1E68"/>
    <w:rsid w:val="749F2E1A"/>
    <w:rsid w:val="750E0FD0"/>
    <w:rsid w:val="754216C1"/>
    <w:rsid w:val="75BD124E"/>
    <w:rsid w:val="75C7203D"/>
    <w:rsid w:val="764F693C"/>
    <w:rsid w:val="770A0CC3"/>
    <w:rsid w:val="771E77B9"/>
    <w:rsid w:val="77592B9B"/>
    <w:rsid w:val="777E5D17"/>
    <w:rsid w:val="77E41408"/>
    <w:rsid w:val="77F2439C"/>
    <w:rsid w:val="780954A3"/>
    <w:rsid w:val="782549A0"/>
    <w:rsid w:val="78700FBA"/>
    <w:rsid w:val="788405CB"/>
    <w:rsid w:val="78D6777B"/>
    <w:rsid w:val="7962424D"/>
    <w:rsid w:val="7A0643B5"/>
    <w:rsid w:val="7A2134D3"/>
    <w:rsid w:val="7A8D4D62"/>
    <w:rsid w:val="7AA92364"/>
    <w:rsid w:val="7B746C71"/>
    <w:rsid w:val="7B8117A9"/>
    <w:rsid w:val="7B8351D1"/>
    <w:rsid w:val="7BED7813"/>
    <w:rsid w:val="7C9000FA"/>
    <w:rsid w:val="7CAD6D69"/>
    <w:rsid w:val="7D5E0B05"/>
    <w:rsid w:val="7D9F624B"/>
    <w:rsid w:val="7D9F7B3D"/>
    <w:rsid w:val="7DB078EA"/>
    <w:rsid w:val="7E4342AC"/>
    <w:rsid w:val="7E536ABA"/>
    <w:rsid w:val="7E5E47BF"/>
    <w:rsid w:val="7E8537CD"/>
    <w:rsid w:val="7E93025D"/>
    <w:rsid w:val="7EAA0BE4"/>
    <w:rsid w:val="7EC73A39"/>
    <w:rsid w:val="7F0D131B"/>
    <w:rsid w:val="7F866B4F"/>
    <w:rsid w:val="7F9336FF"/>
    <w:rsid w:val="7F9C2A34"/>
    <w:rsid w:val="7FB20DB0"/>
    <w:rsid w:val="7FFC3D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keepNext/>
      <w:keepLines/>
      <w:numPr>
        <w:ilvl w:val="3"/>
        <w:numId w:val="1"/>
      </w:numPr>
      <w:spacing w:line="360" w:lineRule="auto"/>
      <w:jc w:val="left"/>
      <w:outlineLvl w:val="3"/>
    </w:pPr>
    <w:rPr>
      <w:b/>
      <w:bCs/>
      <w:sz w:val="24"/>
    </w:rPr>
  </w:style>
  <w:style w:type="character" w:default="1" w:styleId="16">
    <w:name w:val="Default Paragraph Font"/>
    <w:semiHidden/>
    <w:qFormat/>
    <w:uiPriority w:val="0"/>
    <w:rPr>
      <w:rFonts w:ascii="Tahoma" w:hAnsi="Tahoma"/>
      <w:sz w:val="28"/>
      <w:szCs w:val="20"/>
    </w:rPr>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pPr>
    <w:rPr>
      <w:rFonts w:asciiTheme="minorHAnsi" w:hAnsiTheme="minorHAnsi" w:cstheme="minorBidi"/>
      <w:lang w:bidi="he-IL"/>
    </w:rPr>
  </w:style>
  <w:style w:type="paragraph" w:styleId="8">
    <w:name w:val="Body Text Indent"/>
    <w:basedOn w:val="1"/>
    <w:unhideWhenUsed/>
    <w:qFormat/>
    <w:uiPriority w:val="0"/>
    <w:pPr>
      <w:spacing w:after="120"/>
      <w:ind w:left="420" w:leftChars="200"/>
    </w:p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ind w:firstLine="0" w:firstLineChars="0"/>
      <w:jc w:val="left"/>
    </w:pPr>
    <w:rPr>
      <w:sz w:val="28"/>
      <w:szCs w:val="2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w:basedOn w:val="1"/>
    <w:qFormat/>
    <w:uiPriority w:val="0"/>
    <w:pPr>
      <w:ind w:left="200" w:hanging="200" w:hangingChars="200"/>
    </w:pPr>
  </w:style>
  <w:style w:type="paragraph" w:styleId="13">
    <w:name w:val="Title"/>
    <w:basedOn w:val="1"/>
    <w:next w:val="1"/>
    <w:qFormat/>
    <w:uiPriority w:val="10"/>
    <w:pPr>
      <w:spacing w:before="240" w:after="60"/>
      <w:jc w:val="center"/>
      <w:outlineLvl w:val="0"/>
    </w:pPr>
    <w:rPr>
      <w:rFonts w:ascii="Calibri Light" w:hAnsi="Calibri Light" w:cs="Times New Roman"/>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table" w:customStyle="1" w:styleId="18">
    <w:name w:val="正文+宋体4"/>
    <w:basedOn w:val="14"/>
    <w:qFormat/>
    <w:uiPriority w:val="99"/>
    <w:pPr>
      <w:widowControl w:val="0"/>
      <w:jc w:val="center"/>
    </w:pPr>
    <w:rPr>
      <w:szCs w:val="21"/>
    </w:rPr>
    <w:tblP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cPr>
      <w:tcMar>
        <w:left w:w="28" w:type="dxa"/>
        <w:right w:w="28" w:type="dxa"/>
      </w:tcMar>
      <w:vAlign w:val="center"/>
    </w:tcPr>
  </w:style>
  <w:style w:type="paragraph" w:customStyle="1" w:styleId="19">
    <w:name w:val="环评批文文号"/>
    <w:basedOn w:val="1"/>
    <w:qFormat/>
    <w:uiPriority w:val="0"/>
    <w:pPr>
      <w:spacing w:before="1520" w:after="100" w:afterLines="100" w:line="600" w:lineRule="exact"/>
      <w:ind w:firstLine="0" w:firstLineChars="0"/>
      <w:jc w:val="right"/>
      <w:outlineLvl w:val="9"/>
    </w:pPr>
    <w:rPr>
      <w:rFonts w:hint="eastAsia"/>
      <w:color w:val="000000"/>
    </w:rPr>
  </w:style>
  <w:style w:type="paragraph" w:customStyle="1" w:styleId="20">
    <w:name w:val="主送机关"/>
    <w:basedOn w:val="1"/>
    <w:next w:val="1"/>
    <w:qFormat/>
    <w:uiPriority w:val="0"/>
    <w:pPr>
      <w:spacing w:line="600" w:lineRule="exact"/>
      <w:ind w:firstLine="0" w:firstLineChars="0"/>
      <w:outlineLvl w:val="9"/>
    </w:pPr>
    <w:rPr>
      <w:rFonts w:hint="eastAsia"/>
      <w:color w:val="000000"/>
    </w:rPr>
  </w:style>
  <w:style w:type="paragraph" w:customStyle="1" w:styleId="21">
    <w:name w:val="抄送单位"/>
    <w:basedOn w:val="1"/>
    <w:next w:val="1"/>
    <w:qFormat/>
    <w:uiPriority w:val="0"/>
    <w:pPr>
      <w:wordWrap w:val="0"/>
      <w:spacing w:line="600" w:lineRule="exact"/>
      <w:ind w:firstLine="0" w:firstLineChars="0"/>
      <w:jc w:val="left"/>
      <w:outlineLvl w:val="9"/>
    </w:pPr>
    <w:rPr>
      <w:rFonts w:hint="eastAsia"/>
      <w:color w:val="000000"/>
      <w:sz w:val="32"/>
      <w:szCs w:val="30"/>
    </w:rPr>
  </w:style>
  <w:style w:type="paragraph" w:customStyle="1" w:styleId="22">
    <w:name w:val="0cyx正文"/>
    <w:basedOn w:val="23"/>
    <w:qFormat/>
    <w:uiPriority w:val="0"/>
    <w:pPr>
      <w:keepNext w:val="0"/>
      <w:keepLines w:val="0"/>
      <w:ind w:firstLine="480" w:firstLineChars="200"/>
      <w:jc w:val="both"/>
      <w:outlineLvl w:val="9"/>
    </w:pPr>
    <w:rPr>
      <w:rFonts w:eastAsia="宋体"/>
      <w:b w:val="0"/>
      <w:sz w:val="24"/>
      <w:szCs w:val="24"/>
    </w:rPr>
  </w:style>
  <w:style w:type="paragraph" w:customStyle="1" w:styleId="23">
    <w:name w:val="0cyx第2标题"/>
    <w:basedOn w:val="4"/>
    <w:qFormat/>
    <w:uiPriority w:val="0"/>
    <w:pPr>
      <w:widowControl w:val="0"/>
      <w:adjustRightInd w:val="0"/>
      <w:snapToGrid w:val="0"/>
      <w:spacing w:before="0" w:after="0" w:line="360" w:lineRule="auto"/>
      <w:ind w:firstLine="0" w:firstLineChars="0"/>
      <w:jc w:val="left"/>
    </w:pPr>
    <w:rPr>
      <w:rFonts w:ascii="Times New Roman" w:hAnsi="Times New Roman" w:eastAsia="黑体"/>
    </w:rPr>
  </w:style>
  <w:style w:type="paragraph" w:customStyle="1" w:styleId="24">
    <w:name w:val="5文章正文"/>
    <w:basedOn w:val="1"/>
    <w:qFormat/>
    <w:uiPriority w:val="0"/>
    <w:pPr>
      <w:spacing w:line="360" w:lineRule="auto"/>
      <w:ind w:firstLine="200" w:firstLineChars="200"/>
    </w:pPr>
    <w:rPr>
      <w:rFonts w:cstheme="minorBidi"/>
      <w:sz w:val="24"/>
      <w:szCs w:val="24"/>
    </w:rPr>
  </w:style>
  <w:style w:type="character" w:customStyle="1" w:styleId="25">
    <w:name w:val="正文（） Char"/>
    <w:link w:val="26"/>
    <w:qFormat/>
    <w:uiPriority w:val="0"/>
    <w:rPr>
      <w:rFonts w:ascii="Times New Roman" w:hAnsi="Times New Roman" w:cs="Times New Roman"/>
      <w:color w:val="FF0000"/>
    </w:rPr>
  </w:style>
  <w:style w:type="paragraph" w:customStyle="1" w:styleId="26">
    <w:name w:val="正文（）"/>
    <w:basedOn w:val="1"/>
    <w:link w:val="25"/>
    <w:qFormat/>
    <w:uiPriority w:val="0"/>
    <w:pPr>
      <w:adjustRightInd w:val="0"/>
      <w:snapToGrid w:val="0"/>
      <w:spacing w:line="360" w:lineRule="auto"/>
      <w:ind w:firstLine="200" w:firstLineChars="200"/>
      <w:jc w:val="both"/>
    </w:pPr>
    <w:rPr>
      <w:rFonts w:ascii="Times New Roman" w:hAnsi="Times New Roman" w:cs="Times New Roman"/>
      <w:color w:val="FF0000"/>
    </w:rPr>
  </w:style>
  <w:style w:type="character" w:customStyle="1" w:styleId="27">
    <w:name w:val="表格内容（） Char"/>
    <w:link w:val="28"/>
    <w:qFormat/>
    <w:uiPriority w:val="0"/>
    <w:rPr>
      <w:rFonts w:ascii="Times New Roman" w:hAnsi="Times New Roman" w:cs="Times New Roman"/>
      <w:color w:val="FF0000"/>
      <w:sz w:val="21"/>
      <w:szCs w:val="21"/>
    </w:rPr>
  </w:style>
  <w:style w:type="paragraph" w:customStyle="1" w:styleId="28">
    <w:name w:val="表格内容（）"/>
    <w:basedOn w:val="1"/>
    <w:link w:val="27"/>
    <w:qFormat/>
    <w:uiPriority w:val="0"/>
    <w:pPr>
      <w:widowControl w:val="0"/>
      <w:adjustRightInd w:val="0"/>
      <w:snapToGrid w:val="0"/>
      <w:jc w:val="center"/>
    </w:pPr>
    <w:rPr>
      <w:rFonts w:ascii="Times New Roman" w:hAnsi="Times New Roman" w:cs="Times New Roman"/>
      <w:color w:val="FF0000"/>
      <w:sz w:val="21"/>
      <w:szCs w:val="21"/>
    </w:rPr>
  </w:style>
  <w:style w:type="paragraph" w:customStyle="1" w:styleId="29">
    <w:name w:val="表格内容"/>
    <w:basedOn w:val="1"/>
    <w:next w:val="1"/>
    <w:qFormat/>
    <w:uiPriority w:val="0"/>
    <w:pPr>
      <w:spacing w:line="240" w:lineRule="auto"/>
      <w:jc w:val="center"/>
    </w:pPr>
    <w:rPr>
      <w:rFonts w:ascii="Times New Roman" w:hAnsi="Times New Roman" w:eastAsia="宋体"/>
      <w:kern w:val="0"/>
      <w:sz w:val="21"/>
      <w:szCs w:val="20"/>
    </w:rPr>
  </w:style>
  <w:style w:type="paragraph" w:customStyle="1" w:styleId="30">
    <w:name w:val="YJ正文"/>
    <w:basedOn w:val="1"/>
    <w:qFormat/>
    <w:uiPriority w:val="0"/>
    <w:pPr>
      <w:adjustRightInd w:val="0"/>
      <w:snapToGrid w:val="0"/>
      <w:spacing w:line="360" w:lineRule="auto"/>
      <w:ind w:firstLine="420" w:firstLineChars="200"/>
    </w:pPr>
    <w:rPr>
      <w:rFonts w:ascii="Calibri" w:hAnsi="Calibri" w:eastAsia="宋体" w:cs="Calibri"/>
      <w:sz w:val="24"/>
    </w:rPr>
  </w:style>
  <w:style w:type="paragraph" w:customStyle="1" w:styleId="31">
    <w:name w:val="报告书正文"/>
    <w:basedOn w:val="1"/>
    <w:qFormat/>
    <w:uiPriority w:val="0"/>
    <w:pPr>
      <w:spacing w:line="300" w:lineRule="auto"/>
      <w:ind w:firstLine="200" w:firstLineChars="200"/>
    </w:pPr>
  </w:style>
  <w:style w:type="paragraph" w:customStyle="1" w:styleId="32">
    <w:name w:val="童正文"/>
    <w:basedOn w:val="2"/>
    <w:qFormat/>
    <w:uiPriority w:val="0"/>
    <w:pPr>
      <w:spacing w:after="0"/>
      <w:ind w:firstLine="200" w:firstLineChars="200"/>
    </w:pPr>
    <w:rPr>
      <w:rFonts w:ascii="Times New Roman" w:hAnsi="Times New Roman" w:eastAsia="宋体" w:cs="Times New Roman"/>
      <w:sz w:val="24"/>
      <w:szCs w:val="24"/>
    </w:rPr>
  </w:style>
  <w:style w:type="paragraph" w:customStyle="1" w:styleId="33">
    <w:name w:val="样式6"/>
    <w:basedOn w:val="1"/>
    <w:qFormat/>
    <w:uiPriority w:val="0"/>
    <w:pPr>
      <w:ind w:firstLine="7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2033</Words>
  <Characters>2166</Characters>
  <Lines>0</Lines>
  <Paragraphs>0</Paragraphs>
  <TotalTime>2</TotalTime>
  <ScaleCrop>false</ScaleCrop>
  <LinksUpToDate>false</LinksUpToDate>
  <CharactersWithSpaces>2186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2018-08-21T07:06:00Z</dcterms:created>
  <dc:creator>Yuri</dc:creator>
  <cp:lastModifiedBy>Administrator</cp:lastModifiedBy>
  <cp:lastPrinted>2026-02-14T03:01:12Z</cp:lastPrinted>
  <dcterms:modified xsi:type="dcterms:W3CDTF">2026-02-14T03:01:38Z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C449B0AF09024B5E9F4791FA2D50BE81_13</vt:lpwstr>
  </property>
  <property fmtid="{D5CDD505-2E9C-101B-9397-08002B2CF9AE}" pid="4" name="KSOTemplateDocerSaveRecord">
    <vt:lpwstr>eyJoZGlkIjoiMGQxMGM2NWJlN2Q1ZTkzMWY3Y2U5YTgzOTNjODgxZTIiLCJ1c2VySWQiOiIxMTIzNjQ4OTY3In0=</vt:lpwstr>
  </property>
</Properties>
</file>