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textAlignment w:val="auto"/>
        <w:rPr>
          <w:rFonts w:hint="eastAsia" w:eastAsiaTheme="minorEastAsia"/>
          <w:color w:val="auto"/>
          <w:lang w:eastAsia="zh-CN"/>
        </w:rPr>
      </w:pPr>
    </w:p>
    <w:p>
      <w:pPr>
        <w:keepNext w:val="0"/>
        <w:keepLines w:val="0"/>
        <w:pageBreakBefore w:val="0"/>
        <w:widowControl w:val="0"/>
        <w:kinsoku/>
        <w:wordWrap/>
        <w:overflowPunct/>
        <w:topLinePunct w:val="0"/>
        <w:autoSpaceDE/>
        <w:autoSpaceDN/>
        <w:bidi w:val="0"/>
        <w:spacing w:before="1400"/>
        <w:ind w:right="250" w:rightChars="119"/>
        <w:jc w:val="right"/>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榕环评</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0</w:t>
      </w:r>
      <w:r>
        <w:rPr>
          <w:rFonts w:hint="eastAsia" w:ascii="仿宋_GB2312" w:eastAsia="仿宋_GB2312"/>
          <w:color w:val="auto"/>
          <w:sz w:val="32"/>
          <w:szCs w:val="32"/>
          <w:highlight w:val="none"/>
          <w:lang w:val="en-US" w:eastAsia="zh-CN"/>
        </w:rPr>
        <w:t>26</w:t>
      </w:r>
      <w:bookmarkStart w:id="0" w:name="_GoBack"/>
      <w:bookmarkEnd w:id="0"/>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号</w:t>
      </w:r>
    </w:p>
    <w:p>
      <w:pPr>
        <w:keepNext w:val="0"/>
        <w:keepLines w:val="0"/>
        <w:pageBreakBefore w:val="0"/>
        <w:widowControl w:val="0"/>
        <w:kinsoku/>
        <w:wordWrap/>
        <w:overflowPunct/>
        <w:topLinePunct w:val="0"/>
        <w:autoSpaceDE/>
        <w:autoSpaceDN/>
        <w:bidi w:val="0"/>
        <w:adjustRightInd/>
        <w:snapToGrid/>
        <w:spacing w:before="720" w:line="560" w:lineRule="exact"/>
        <w:jc w:val="center"/>
        <w:textAlignment w:val="auto"/>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color w:val="auto"/>
          <w:sz w:val="44"/>
          <w:szCs w:val="44"/>
          <w:highlight w:val="none"/>
        </w:rPr>
        <w:t>福州市</w:t>
      </w:r>
      <w:r>
        <w:rPr>
          <w:rFonts w:hint="eastAsia" w:ascii="方正小标宋简体" w:hAnsi="方正小标宋简体" w:eastAsia="方正小标宋简体" w:cs="方正小标宋简体"/>
          <w:color w:val="auto"/>
          <w:sz w:val="44"/>
          <w:szCs w:val="44"/>
          <w:highlight w:val="none"/>
          <w:lang w:val="en-US" w:eastAsia="zh-CN"/>
        </w:rPr>
        <w:t>生态</w:t>
      </w:r>
      <w:r>
        <w:rPr>
          <w:rFonts w:hint="eastAsia" w:ascii="方正小标宋简体" w:hAnsi="方正小标宋简体" w:eastAsia="方正小标宋简体" w:cs="方正小标宋简体"/>
          <w:color w:val="auto"/>
          <w:sz w:val="44"/>
          <w:szCs w:val="44"/>
          <w:highlight w:val="none"/>
        </w:rPr>
        <w:t>环境局</w:t>
      </w:r>
      <w:r>
        <w:rPr>
          <w:rFonts w:hint="eastAsia" w:ascii="方正小标宋简体" w:hAnsi="方正小标宋简体" w:eastAsia="方正小标宋简体" w:cs="方正小标宋简体"/>
          <w:b w:val="0"/>
          <w:bCs w:val="0"/>
          <w:color w:val="auto"/>
          <w:sz w:val="44"/>
          <w:szCs w:val="44"/>
          <w:lang w:eastAsia="zh-CN"/>
        </w:rPr>
        <w:t>关于福建省东南电化公司离子膜烧碱用盐种扩展暨工业废盐除杂项目环境影响报告书的审批意见</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36"/>
          <w:lang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福建省东南电化股份有限公司：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你司报送的《福建省东南电化公司离子膜烧碱用盐种扩展暨工业废盐除杂项目环境影响报告书》（以下简称《报告书》）及申请审批的报告收悉。根据《环境影响评价法》第22条等规定，经组织技术审查，并征求</w:t>
      </w:r>
      <w:r>
        <w:rPr>
          <w:rFonts w:hint="eastAsia" w:ascii="仿宋_GB2312" w:hAnsi="仿宋_GB2312" w:eastAsia="仿宋_GB2312" w:cs="仿宋_GB2312"/>
          <w:color w:val="auto"/>
          <w:sz w:val="32"/>
          <w:szCs w:val="32"/>
          <w:highlight w:val="none"/>
          <w:lang w:eastAsia="zh-CN"/>
        </w:rPr>
        <w:t>福州市福清生态环境局</w:t>
      </w:r>
      <w:r>
        <w:rPr>
          <w:rFonts w:hint="eastAsia" w:ascii="仿宋_GB2312" w:hAnsi="仿宋_GB2312" w:eastAsia="仿宋_GB2312" w:cs="仿宋_GB2312"/>
          <w:color w:val="auto"/>
          <w:sz w:val="32"/>
          <w:szCs w:val="32"/>
          <w:lang w:eastAsia="zh-CN"/>
        </w:rPr>
        <w:t>意见，现提出审批意见如下: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一、项目位于福州市江阴港城经济区国盛大道3号</w:t>
      </w:r>
      <w:r>
        <w:rPr>
          <w:rFonts w:hint="eastAsia" w:ascii="仿宋_GB2312" w:hAnsi="仿宋_GB2312" w:eastAsia="仿宋_GB2312" w:cs="仿宋_GB2312"/>
          <w:color w:val="auto"/>
          <w:sz w:val="32"/>
          <w:szCs w:val="32"/>
          <w:lang w:eastAsia="zh-CN"/>
        </w:rPr>
        <w:t>福建省东南电化股份有限公司</w:t>
      </w:r>
      <w:r>
        <w:rPr>
          <w:rFonts w:hint="eastAsia" w:ascii="仿宋_GB2312" w:hAnsi="仿宋_GB2312" w:eastAsia="仿宋_GB2312" w:cs="仿宋_GB2312"/>
          <w:color w:val="auto"/>
          <w:sz w:val="32"/>
          <w:szCs w:val="32"/>
          <w:lang w:val="en-US" w:eastAsia="zh-CN"/>
        </w:rPr>
        <w:t>现有厂区内，主要建设内容：建设一套盐水除杂装置(两条盐水除杂生产线)，项目分两期建设，一期建设1条除杂生产线去除原盐和废盐化盐后盐水中的溴，形成年处理30万吨/年烧碱配套盐水的除杂能力；二期建设1条除杂生产线去除原盐化盐后盐水中的溴，形成年处理30万吨/年烧碱配套盐水的除杂能力。</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根据《报告书》评价结论、福州市环境影响评价技术中心出具的技术评估报告（</w:t>
      </w:r>
      <w:r>
        <w:rPr>
          <w:rFonts w:hint="eastAsia" w:ascii="仿宋_GB2312" w:hAnsi="仿宋_GB2312" w:eastAsia="仿宋_GB2312" w:cs="仿宋_GB2312"/>
          <w:color w:val="auto"/>
          <w:sz w:val="32"/>
          <w:szCs w:val="32"/>
          <w:highlight w:val="none"/>
          <w:lang w:eastAsia="zh-CN"/>
        </w:rPr>
        <w:t>编号2-202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043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lang w:eastAsia="zh-CN"/>
        </w:rPr>
        <w:t>，该项目符合国家产业政策，符合福州市生态环境分区管控要求，符合《福州市化工产业发展专项规划(2025-2030年)》《福州江阴港城经济区化工新材料专区总体发展规划(2025-2030年)》《福州江阴港城经济区产业发展规划》</w:t>
      </w:r>
      <w:r>
        <w:rPr>
          <w:rFonts w:hint="eastAsia" w:ascii="仿宋_GB2312" w:eastAsia="仿宋_GB2312"/>
          <w:color w:val="auto"/>
          <w:sz w:val="32"/>
          <w:szCs w:val="32"/>
          <w:highlight w:val="none"/>
          <w:lang w:eastAsia="zh-CN"/>
        </w:rPr>
        <w:t>及其规划环评要求</w:t>
      </w:r>
      <w:r>
        <w:rPr>
          <w:rFonts w:hint="eastAsia" w:ascii="仿宋_GB2312" w:hAnsi="仿宋_GB2312" w:eastAsia="仿宋_GB2312" w:cs="仿宋_GB2312"/>
          <w:color w:val="auto"/>
          <w:sz w:val="32"/>
          <w:szCs w:val="32"/>
          <w:lang w:eastAsia="zh-CN"/>
        </w:rPr>
        <w:t>。在全面落实《报告书》提出的污染防治和风险防控措施的前提下，从环境保护角度分析项目建设是可行的。我局</w:t>
      </w:r>
      <w:r>
        <w:rPr>
          <w:rFonts w:hint="eastAsia" w:ascii="仿宋_GB2312" w:eastAsia="仿宋_GB2312"/>
          <w:color w:val="auto"/>
          <w:sz w:val="32"/>
          <w:szCs w:val="32"/>
          <w:highlight w:val="none"/>
        </w:rPr>
        <w:t>同意</w:t>
      </w:r>
      <w:r>
        <w:rPr>
          <w:rFonts w:hint="eastAsia" w:ascii="仿宋_GB2312" w:eastAsia="仿宋_GB2312"/>
          <w:color w:val="auto"/>
          <w:sz w:val="32"/>
          <w:szCs w:val="32"/>
          <w:highlight w:val="none"/>
          <w:lang w:eastAsia="zh-CN"/>
        </w:rPr>
        <w:t>项目</w:t>
      </w:r>
      <w:r>
        <w:rPr>
          <w:rFonts w:hint="eastAsia" w:ascii="仿宋_GB2312" w:eastAsia="仿宋_GB2312"/>
          <w:color w:val="auto"/>
          <w:sz w:val="32"/>
          <w:szCs w:val="32"/>
          <w:highlight w:val="none"/>
        </w:rPr>
        <w:t>按照《报告书》所列的建设项目地点、性质、规模以及环境保护对策措施进行建设。</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kern w:val="1"/>
          <w:sz w:val="32"/>
          <w:szCs w:val="32"/>
          <w:lang w:eastAsia="zh-CN"/>
        </w:rPr>
        <w:t>该项目的建设应严格执行环保“三同时”制度，进一步优化工程设计和污染防治措施，加强运行管理，持续提升清洁生产水平，强化各装置节能降耗措施。严格落实《报告书》提出的各项污染防治、生态保护和风险防控措施，在工程设计、施工和生产过程中实施“以新带老”，完成现有工程环境问题整改，并重点做好以下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FF"/>
          <w:sz w:val="32"/>
          <w:szCs w:val="32"/>
          <w:lang w:val="en-US" w:eastAsia="zh-CN"/>
        </w:rPr>
      </w:pPr>
      <w:r>
        <w:rPr>
          <w:rFonts w:hint="eastAsia" w:ascii="仿宋_GB2312" w:hAnsi="仿宋_GB2312" w:eastAsia="仿宋_GB2312" w:cs="仿宋_GB2312"/>
          <w:color w:val="auto"/>
          <w:sz w:val="32"/>
          <w:szCs w:val="32"/>
          <w:highlight w:val="none"/>
          <w:lang w:val="en-US" w:eastAsia="zh-CN"/>
        </w:rPr>
        <w:t>1.水污染防治措施。项目一期通过现有工程内部的削减后，不新增高盐废水的排放量；二期工程产生的废碱液催化分解废水经亚硫酸钠反应去除游离氯后部分高盐废水回收至新建</w:t>
      </w:r>
      <w:r>
        <w:rPr>
          <w:rFonts w:hint="eastAsia" w:ascii="宋体" w:hAnsi="宋体" w:eastAsia="宋体" w:cs="宋体"/>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电渗析+干化装置</w:t>
      </w:r>
      <w:r>
        <w:rPr>
          <w:rFonts w:hint="eastAsia" w:ascii="宋体" w:hAnsi="宋体" w:eastAsia="宋体" w:cs="宋体"/>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处理，</w:t>
      </w:r>
      <w:r>
        <w:rPr>
          <w:rFonts w:hint="eastAsia" w:ascii="仿宋_GB2312" w:hAnsi="仿宋_GB2312" w:eastAsia="仿宋_GB2312" w:cs="仿宋_GB2312"/>
          <w:color w:val="auto"/>
          <w:sz w:val="32"/>
          <w:szCs w:val="32"/>
          <w:highlight w:val="none"/>
          <w:lang w:eastAsia="zh-CN"/>
        </w:rPr>
        <w:t>干化装置产生的冷凝水</w:t>
      </w:r>
      <w:r>
        <w:rPr>
          <w:rFonts w:hint="eastAsia" w:ascii="仿宋_GB2312" w:hAnsi="仿宋_GB2312" w:eastAsia="仿宋_GB2312" w:cs="仿宋_GB2312"/>
          <w:color w:val="auto"/>
          <w:sz w:val="32"/>
          <w:szCs w:val="32"/>
          <w:highlight w:val="none"/>
          <w:lang w:val="en-US" w:eastAsia="zh-CN"/>
        </w:rPr>
        <w:t>及电渗析淡水回用至工业用水系统，未回收的废水通过园区已建排海管道排海</w:t>
      </w:r>
      <w:r>
        <w:rPr>
          <w:rFonts w:hint="eastAsia" w:ascii="仿宋_GB2312" w:hAnsi="仿宋_GB2312" w:eastAsia="仿宋_GB2312" w:cs="仿宋_GB2312"/>
          <w:color w:val="auto"/>
          <w:sz w:val="32"/>
          <w:szCs w:val="32"/>
          <w:lang w:val="en-US" w:eastAsia="zh-CN"/>
        </w:rPr>
        <w:t>。车间污水排放口设置溴化物监测口，用于定期对溴化物排放值进行监测。</w:t>
      </w:r>
    </w:p>
    <w:p>
      <w:pPr>
        <w:keepNext w:val="0"/>
        <w:keepLines w:val="0"/>
        <w:pageBreakBefore w:val="0"/>
        <w:widowControl w:val="0"/>
        <w:kinsoku/>
        <w:wordWrap/>
        <w:overflowPunct/>
        <w:topLinePunct w:val="0"/>
        <w:autoSpaceDE/>
        <w:autoSpaceDN/>
        <w:bidi w:val="0"/>
        <w:spacing w:line="600" w:lineRule="exact"/>
        <w:ind w:firstLine="64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2.大气污染防治措施。项目生产排放的废气以及开停车废气送碱洗塔进行二级碱洗,达标后由25m高排气筒排放。</w:t>
      </w:r>
      <w:r>
        <w:rPr>
          <w:rFonts w:hint="eastAsia" w:ascii="仿宋_GB2312" w:hAnsi="仿宋_GB2312" w:eastAsia="仿宋_GB2312" w:cs="仿宋_GB2312"/>
          <w:color w:val="auto"/>
          <w:sz w:val="32"/>
          <w:szCs w:val="32"/>
          <w:lang w:eastAsia="zh-CN"/>
        </w:rPr>
        <w:t>建立设备管理网络体系，液体物料在装卸、运输过程中采用密闭管道和封闭接口，严格控制无组织排放污染，加强无组织废气的收集和有效处理。</w:t>
      </w:r>
    </w:p>
    <w:p>
      <w:pPr>
        <w:keepNext w:val="0"/>
        <w:keepLines w:val="0"/>
        <w:pageBreakBefore w:val="0"/>
        <w:widowControl w:val="0"/>
        <w:kinsoku/>
        <w:wordWrap/>
        <w:overflowPunct/>
        <w:topLinePunct w:val="0"/>
        <w:autoSpaceDE/>
        <w:autoSpaceDN/>
        <w:bidi w:val="0"/>
        <w:adjustRightInd/>
        <w:snapToGrid/>
        <w:spacing w:line="560" w:lineRule="atLeast"/>
        <w:ind w:right="0" w:rightChars="0" w:firstLine="640" w:firstLineChars="200"/>
        <w:jc w:val="both"/>
        <w:textAlignment w:val="auto"/>
        <w:outlineLvl w:val="9"/>
        <w:rPr>
          <w:rFonts w:hint="eastAsia" w:ascii="仿宋_GB2312" w:eastAsia="仿宋_GB2312"/>
          <w:sz w:val="32"/>
          <w:szCs w:val="32"/>
          <w:highlight w:val="none"/>
          <w:lang w:eastAsia="zh-CN"/>
        </w:rPr>
      </w:pPr>
      <w:r>
        <w:rPr>
          <w:rFonts w:hint="eastAsia" w:ascii="仿宋_GB2312" w:hAnsi="Times New Roman" w:eastAsia="仿宋_GB2312" w:cs="Times New Roman"/>
          <w:sz w:val="32"/>
          <w:szCs w:val="32"/>
          <w:highlight w:val="none"/>
          <w:lang w:eastAsia="zh-CN"/>
        </w:rPr>
        <w:t>项目环境防护距离执行现有工程环境防护距离，即企业厂界外1000m形成的包络区域，该范围内目前无居住区、学校、医院、等环境敏感目标。你司应继续配合当地政府和建设规划部门，做好防护距离内的规划用地控制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3.固体废物污染防治措施。加强固体废物的收集、储存、转运和处置的全过程管理，</w:t>
      </w:r>
      <w:r>
        <w:rPr>
          <w:rFonts w:hint="eastAsia" w:ascii="仿宋_GB2312" w:hAnsi="仿宋_GB2312" w:eastAsia="仿宋_GB2312" w:cs="仿宋_GB2312"/>
          <w:color w:val="auto"/>
          <w:sz w:val="32"/>
          <w:szCs w:val="32"/>
          <w:lang w:eastAsia="zh-CN"/>
        </w:rPr>
        <w:t>按规范设置固体废物分类暂存场所，并采取有效的防渗漏、防扬尘措施</w:t>
      </w:r>
      <w:r>
        <w:rPr>
          <w:rFonts w:hint="eastAsia" w:ascii="仿宋_GB2312" w:hAnsi="仿宋_GB2312" w:eastAsia="仿宋_GB2312" w:cs="仿宋_GB2312"/>
          <w:color w:val="auto"/>
          <w:sz w:val="32"/>
          <w:szCs w:val="32"/>
          <w:lang w:val="en-US" w:eastAsia="zh-CN"/>
        </w:rPr>
        <w:t>。本项目新增的废催化剂、废机油、废离子交换树脂等危险废物</w:t>
      </w:r>
      <w:r>
        <w:rPr>
          <w:rFonts w:hint="eastAsia" w:ascii="仿宋_GB2312" w:hAnsi="仿宋_GB2312" w:eastAsia="仿宋_GB2312" w:cs="仿宋_GB2312"/>
          <w:color w:val="auto"/>
          <w:sz w:val="32"/>
          <w:szCs w:val="32"/>
          <w:highlight w:val="none"/>
          <w:lang w:val="en-US" w:eastAsia="zh-CN"/>
        </w:rPr>
        <w:t>临时贮存于现有的危险废物贮存库</w:t>
      </w:r>
      <w:r>
        <w:rPr>
          <w:rFonts w:hint="eastAsia" w:ascii="仿宋_GB2312" w:hAnsi="仿宋_GB2312" w:eastAsia="仿宋_GB2312" w:cs="仿宋_GB2312"/>
          <w:color w:val="auto"/>
          <w:sz w:val="32"/>
          <w:szCs w:val="32"/>
          <w:lang w:val="en-US" w:eastAsia="zh-CN"/>
        </w:rPr>
        <w:t>，并</w:t>
      </w:r>
      <w:r>
        <w:rPr>
          <w:rFonts w:hint="eastAsia" w:ascii="仿宋_GB2312" w:hAnsi="仿宋_GB2312" w:eastAsia="仿宋_GB2312" w:cs="仿宋_GB2312"/>
          <w:color w:val="auto"/>
          <w:sz w:val="32"/>
          <w:szCs w:val="32"/>
          <w:highlight w:val="none"/>
          <w:lang w:val="en-US" w:eastAsia="zh-CN"/>
        </w:rPr>
        <w:t>委托有资质的单位进行妥善处置；干化装置产生的结晶盐及电渗析装置产生的污泥应按照相关技术规范开展危险特性鉴别，并根据鉴别结果依法管理；在鉴别结果出具前，暂按危险废物贮存和管理。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噪声污染防治。优先选用低噪声设备，高噪声设备采取减振、隔声、消声等综合降噪措施，确保厂界噪声达标。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5.土壤和地下水污染防治。严格按照《地下污染源防渗技术指南》（试行）、《石油化工工程防渗技术规范》（GB/T50934-2013）、《一般工业固体废物贮存和填埋污染控制标准》（GB18599-2020）以及《环境影响评价技术导则-地下水环境》（HJ610-2016）等相关要求对各功能区进行分区防渗</w:t>
      </w:r>
      <w:r>
        <w:rPr>
          <w:rFonts w:hint="eastAsia" w:ascii="仿宋_GB2312" w:hAnsi="仿宋_GB2312" w:eastAsia="仿宋_GB2312" w:cs="仿宋_GB2312"/>
          <w:color w:val="auto"/>
          <w:sz w:val="32"/>
          <w:szCs w:val="32"/>
          <w:lang w:eastAsia="zh-CN"/>
        </w:rPr>
        <w:t>，并加强防渗设施的日常检查和维护。及时按照根据重点污染防治区平面布置、地下水流向，合理设置土壤和地下水监测点，严格落实土壤和地下水监测计划。</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6.环境风险防范措施。</w:t>
      </w:r>
      <w:r>
        <w:rPr>
          <w:rFonts w:hint="eastAsia" w:ascii="仿宋_GB2312" w:hAnsi="仿宋_GB2312" w:eastAsia="仿宋_GB2312" w:cs="仿宋_GB2312"/>
          <w:color w:val="auto"/>
          <w:sz w:val="32"/>
          <w:szCs w:val="32"/>
          <w:highlight w:val="none"/>
          <w:lang w:val="en-US" w:eastAsia="zh-CN"/>
        </w:rPr>
        <w:t>严格落实《报告书》中提出的各项环境风险防范、应急措施，及时更新突发环境事件应急预案，重点做好生产装置区、储罐区及污染防治措施等场所环境风险防范工作，配套视频监控系统、火灾报警系统、可燃、有毒有害气体泄漏自动监测系统等，严防泄漏事故发生。设置足够容积的事故应急池和初期雨水池，生产车间设置导流系统，罐区设置围堰、报警装置、备用罐等，建立事故废水收集、处理设施监测和预警系统，在厂区污水总排口及雨水排口设置切换阀，确保初期雨水、事故废水得到全部有效收集处理，防止事故情况下事故废水进入园区污水处理厂和周边水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lang w:eastAsia="zh-CN"/>
        </w:rPr>
        <w:t>碳排放管理。落实国家发展改革委等部门《关于严格能效约束推动重点领域节能降碳的若干意见》（发改产业〔2021〕1464号）要求，并衔接落实省、市能耗双控目标任务和有关区域、行业碳达峰行动方案等政策，强化节能降耗、优化减污措施，确保企业能效达到行业标杆水平，严格控制单位产品能耗和碳排放强度，实现减污降碳协同控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lang w:eastAsia="zh-CN"/>
        </w:rPr>
        <w:t>污染物排放标准和主要污染物允许排放控制要求: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（一）污染物排放标准</w:t>
      </w:r>
    </w:p>
    <w:p>
      <w:pPr>
        <w:pStyle w:val="37"/>
        <w:keepNext w:val="0"/>
        <w:keepLines w:val="0"/>
        <w:pageBreakBefore w:val="0"/>
        <w:widowControl w:val="0"/>
        <w:kinsoku/>
        <w:wordWrap/>
        <w:overflowPunct/>
        <w:topLinePunct w:val="0"/>
        <w:autoSpaceDE/>
        <w:autoSpaceDN/>
        <w:bidi w:val="0"/>
        <w:spacing w:line="600" w:lineRule="exact"/>
        <w:ind w:firstLine="48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lang w:eastAsia="zh-CN"/>
        </w:rPr>
        <w:t>1.废气。</w:t>
      </w:r>
      <w:r>
        <w:rPr>
          <w:rFonts w:hint="default" w:ascii="仿宋_GB2312" w:hAnsi="仿宋_GB2312" w:eastAsia="仿宋_GB2312" w:cs="仿宋_GB2312"/>
          <w:color w:val="auto"/>
          <w:sz w:val="32"/>
          <w:szCs w:val="32"/>
          <w:lang w:eastAsia="zh-CN"/>
        </w:rPr>
        <w:t>有组织排放的氯化氢、氯气</w:t>
      </w:r>
      <w:r>
        <w:rPr>
          <w:rFonts w:hint="eastAsia" w:ascii="仿宋_GB2312" w:hAnsi="仿宋_GB2312" w:eastAsia="仿宋_GB2312" w:cs="仿宋_GB2312"/>
          <w:color w:val="auto"/>
          <w:sz w:val="32"/>
          <w:szCs w:val="32"/>
          <w:lang w:eastAsia="zh-CN"/>
        </w:rPr>
        <w:t>、溴化氢、溴气</w:t>
      </w:r>
      <w:r>
        <w:rPr>
          <w:rFonts w:hint="default" w:ascii="仿宋_GB2312" w:hAnsi="仿宋_GB2312" w:eastAsia="仿宋_GB2312" w:cs="仿宋_GB2312"/>
          <w:color w:val="auto"/>
          <w:sz w:val="32"/>
          <w:szCs w:val="32"/>
          <w:lang w:eastAsia="zh-CN"/>
        </w:rPr>
        <w:t>执行《烧碱、聚氯乙烯工业污染物排放</w:t>
      </w:r>
      <w:r>
        <w:rPr>
          <w:rFonts w:hint="default" w:ascii="仿宋_GB2312" w:hAnsi="仿宋_GB2312" w:eastAsia="仿宋_GB2312" w:cs="仿宋_GB2312"/>
          <w:color w:val="auto"/>
          <w:kern w:val="2"/>
          <w:sz w:val="32"/>
          <w:szCs w:val="32"/>
          <w:lang w:val="en-US" w:eastAsia="zh-CN" w:bidi="ar-SA"/>
        </w:rPr>
        <w:t>标准》（GB15581-2016）表4</w:t>
      </w:r>
      <w:r>
        <w:rPr>
          <w:rFonts w:hint="eastAsia" w:ascii="仿宋_GB2312" w:hAnsi="仿宋_GB2312" w:eastAsia="仿宋_GB2312" w:cs="仿宋_GB2312"/>
          <w:color w:val="auto"/>
          <w:kern w:val="2"/>
          <w:sz w:val="32"/>
          <w:szCs w:val="32"/>
          <w:lang w:val="en-US" w:eastAsia="zh-CN" w:bidi="ar-SA"/>
        </w:rPr>
        <w:t>及</w:t>
      </w:r>
      <w:r>
        <w:rPr>
          <w:rFonts w:hint="default" w:ascii="仿宋_GB2312" w:hAnsi="仿宋_GB2312" w:eastAsia="仿宋_GB2312" w:cs="仿宋_GB2312"/>
          <w:color w:val="auto"/>
          <w:kern w:val="2"/>
          <w:sz w:val="32"/>
          <w:szCs w:val="32"/>
          <w:lang w:val="en-US" w:eastAsia="zh-CN" w:bidi="ar-SA"/>
        </w:rPr>
        <w:t>《石油化学工业污染物排放标准》(GB31571-2015(含2024年修改单))</w:t>
      </w:r>
      <w:r>
        <w:rPr>
          <w:rFonts w:hint="eastAsia" w:ascii="仿宋_GB2312" w:hAnsi="仿宋_GB2312" w:eastAsia="仿宋_GB2312" w:cs="仿宋_GB2312"/>
          <w:color w:val="auto"/>
          <w:kern w:val="2"/>
          <w:sz w:val="32"/>
          <w:szCs w:val="32"/>
          <w:lang w:val="en-US" w:eastAsia="zh-CN" w:bidi="ar-SA"/>
        </w:rPr>
        <w:t>表5</w:t>
      </w:r>
      <w:r>
        <w:rPr>
          <w:rFonts w:hint="default" w:ascii="仿宋_GB2312" w:hAnsi="仿宋_GB2312" w:eastAsia="仿宋_GB2312" w:cs="仿宋_GB2312"/>
          <w:color w:val="auto"/>
          <w:kern w:val="2"/>
          <w:sz w:val="32"/>
          <w:szCs w:val="32"/>
          <w:lang w:val="en-US" w:eastAsia="zh-CN" w:bidi="ar-SA"/>
        </w:rPr>
        <w:t>大气污染物特别排放限值</w:t>
      </w:r>
      <w:r>
        <w:rPr>
          <w:rFonts w:hint="eastAsia" w:ascii="仿宋_GB2312" w:hAnsi="仿宋_GB2312" w:eastAsia="仿宋_GB2312" w:cs="仿宋_GB2312"/>
          <w:color w:val="auto"/>
          <w:kern w:val="2"/>
          <w:sz w:val="32"/>
          <w:szCs w:val="32"/>
          <w:lang w:val="en-US" w:eastAsia="zh-CN" w:bidi="ar-SA"/>
        </w:rPr>
        <w:t>中的最严格浓度限值；非甲烷总烃执行《工业企业挥发性有机物排放标准》（DB35/1782-2018）表1排放标准</w:t>
      </w:r>
      <w:r>
        <w:rPr>
          <w:rFonts w:hint="default" w:ascii="仿宋_GB2312" w:hAnsi="仿宋_GB2312" w:eastAsia="仿宋_GB2312" w:cs="仿宋_GB2312"/>
          <w:color w:val="auto"/>
          <w:kern w:val="2"/>
          <w:sz w:val="32"/>
          <w:szCs w:val="32"/>
          <w:lang w:val="en-US" w:eastAsia="zh-CN" w:bidi="ar-SA"/>
        </w:rPr>
        <w:t>。</w:t>
      </w:r>
    </w:p>
    <w:p>
      <w:pPr>
        <w:pStyle w:val="37"/>
        <w:keepNext w:val="0"/>
        <w:keepLines w:val="0"/>
        <w:pageBreakBefore w:val="0"/>
        <w:widowControl w:val="0"/>
        <w:kinsoku/>
        <w:wordWrap/>
        <w:overflowPunct/>
        <w:topLinePunct w:val="0"/>
        <w:autoSpaceDE/>
        <w:autoSpaceDN/>
        <w:bidi w:val="0"/>
        <w:spacing w:line="600" w:lineRule="exact"/>
        <w:ind w:firstLine="48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厂界无组织排放的氯化氢、氯气、溴化氢、溴气执行《烧碱、聚氯乙烯工业污染物排放标准》（GB15581-2016）表5排放限值，其中溴化氢参照氯化氢排放限值执行。</w:t>
      </w:r>
    </w:p>
    <w:p>
      <w:pPr>
        <w:pStyle w:val="18"/>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仿宋_GB2312" w:hAnsi="仿宋_GB2312" w:eastAsia="仿宋_GB2312" w:cs="仿宋_GB2312"/>
          <w:color w:val="0000FF"/>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w:t>
      </w:r>
      <w:r>
        <w:rPr>
          <w:rFonts w:hint="default" w:ascii="仿宋_GB2312" w:hAnsi="仿宋_GB2312" w:eastAsia="仿宋_GB2312" w:cs="仿宋_GB2312"/>
          <w:color w:val="auto"/>
          <w:kern w:val="2"/>
          <w:sz w:val="32"/>
          <w:szCs w:val="32"/>
          <w:lang w:val="en-US" w:eastAsia="zh-CN" w:bidi="ar-SA"/>
        </w:rPr>
        <w:t>废水。高盐废水排放执行《石油化学工业污染物排放标准》(GB31571-2015(含2024年修改单))表1直接排放限值和表3有机特征污染物排放限值、《合成树脂工业污染物排放标准》(GB31572-2015(含2024年修改单))表1直接排放限值、《烧碱、聚氯乙烯工业污染物排放标准》(GB15581-2016)表1直接排放限值等相应行业水污染物直接排放标准、《城镇污水处理厂污染物排放标准》(GB18918-2002)表1一级A标准、《污水综合排放标准》(GB8978-1996)中一级排放标准中的最严格浓度限值</w:t>
      </w:r>
      <w:r>
        <w:rPr>
          <w:rFonts w:hint="eastAsia" w:ascii="仿宋_GB2312" w:hAnsi="仿宋_GB2312" w:eastAsia="仿宋_GB2312" w:cs="仿宋_GB2312"/>
          <w:color w:val="auto"/>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3</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噪声。施工噪声执行《建筑施工噪声排放标准》</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GB12523</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2025</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厂界噪声执行《工业企业厂界环境噪声排放标准》</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GB12348-2008</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3类标准。</w:t>
      </w:r>
    </w:p>
    <w:p>
      <w:pPr>
        <w:pStyle w:val="18"/>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4.固废。危险废物贮存执行《危险废物贮存污染控制标准》（GB18597-2023）要求，转移管理执行《危险废物转移管理办法》（部令第23号）</w:t>
      </w:r>
      <w:r>
        <w:rPr>
          <w:rFonts w:ascii="仿宋_GB2312" w:eastAsia="仿宋_GB2312"/>
          <w:bCs/>
          <w:spacing w:val="-4"/>
          <w:kern w:val="2"/>
          <w:sz w:val="32"/>
          <w:szCs w:val="32"/>
        </w:rPr>
        <w:t>《危险废物收集贮存运输技术规范》（HJ2025-2012）</w:t>
      </w:r>
      <w:r>
        <w:rPr>
          <w:rFonts w:hint="eastAsia" w:ascii="仿宋_GB2312" w:eastAsia="仿宋_GB2312"/>
          <w:bCs/>
          <w:spacing w:val="-4"/>
          <w:kern w:val="2"/>
          <w:sz w:val="32"/>
          <w:szCs w:val="32"/>
          <w:lang w:eastAsia="zh-CN"/>
        </w:rPr>
        <w:t>等</w:t>
      </w:r>
      <w:r>
        <w:rPr>
          <w:rFonts w:hint="eastAsia" w:ascii="仿宋_GB2312" w:hAnsi="仿宋_GB2312" w:eastAsia="仿宋_GB2312" w:cs="仿宋_GB2312"/>
          <w:color w:val="auto"/>
          <w:kern w:val="2"/>
          <w:sz w:val="32"/>
          <w:szCs w:val="32"/>
          <w:lang w:val="en-US" w:eastAsia="zh-CN" w:bidi="ar-SA"/>
        </w:rPr>
        <w:t>相关规定。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default"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lang w:eastAsia="zh-CN"/>
        </w:rPr>
        <w:t>）</w:t>
      </w:r>
      <w:r>
        <w:rPr>
          <w:rFonts w:hint="default" w:ascii="仿宋_GB2312" w:hAnsi="仿宋_GB2312" w:eastAsia="仿宋_GB2312" w:cs="仿宋_GB2312"/>
          <w:color w:val="auto"/>
          <w:sz w:val="32"/>
          <w:szCs w:val="32"/>
          <w:lang w:eastAsia="zh-CN"/>
        </w:rPr>
        <w:t>主要污染物排放总量控制要求</w:t>
      </w:r>
    </w:p>
    <w:p>
      <w:pPr>
        <w:pStyle w:val="36"/>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仿宋_GB2312" w:hAnsi="仿宋_GB2312" w:eastAsia="仿宋_GB2312" w:cs="仿宋_GB2312"/>
          <w:color w:val="auto"/>
          <w:sz w:val="32"/>
          <w:szCs w:val="32"/>
          <w:highlight w:val="yellow"/>
          <w:lang w:eastAsia="zh-CN"/>
        </w:rPr>
      </w:pPr>
      <w:r>
        <w:rPr>
          <w:rFonts w:hint="eastAsia" w:ascii="仿宋_GB2312" w:hAnsi="仿宋_GB2312" w:eastAsia="仿宋_GB2312" w:cs="仿宋_GB2312"/>
          <w:color w:val="auto"/>
          <w:sz w:val="32"/>
          <w:szCs w:val="32"/>
          <w:highlight w:val="none"/>
          <w:lang w:eastAsia="zh-CN"/>
        </w:rPr>
        <w:t>本</w:t>
      </w:r>
      <w:r>
        <w:rPr>
          <w:rFonts w:hint="eastAsia" w:ascii="仿宋_GB2312" w:hAnsi="仿宋_GB2312" w:eastAsia="仿宋_GB2312" w:cs="仿宋_GB2312"/>
          <w:color w:val="auto"/>
          <w:sz w:val="32"/>
          <w:szCs w:val="32"/>
          <w:highlight w:val="none"/>
        </w:rPr>
        <w:t>项目不新增氨氮、COD、二氧化硫、氮氧化物排放量，</w:t>
      </w:r>
      <w:r>
        <w:rPr>
          <w:rFonts w:hint="eastAsia" w:ascii="仿宋_GB2312" w:hAnsi="仿宋_GB2312" w:eastAsia="仿宋_GB2312" w:cs="仿宋_GB2312"/>
          <w:color w:val="auto"/>
          <w:sz w:val="32"/>
          <w:szCs w:val="32"/>
          <w:highlight w:val="none"/>
          <w:lang w:eastAsia="zh-CN"/>
        </w:rPr>
        <w:t>无需申购所需总量指标。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lang w:val="en-US" w:eastAsia="zh-CN"/>
        </w:rPr>
        <w:t>四、</w:t>
      </w:r>
      <w:r>
        <w:rPr>
          <w:rFonts w:hint="default" w:ascii="仿宋_GB2312" w:hAnsi="仿宋_GB2312" w:eastAsia="仿宋_GB2312" w:cs="仿宋_GB2312"/>
          <w:color w:val="auto"/>
          <w:sz w:val="32"/>
          <w:szCs w:val="32"/>
          <w:highlight w:val="none"/>
          <w:lang w:eastAsia="zh-CN"/>
        </w:rPr>
        <w:t>项目建设应严格执行</w:t>
      </w:r>
      <w:r>
        <w:rPr>
          <w:rFonts w:hint="eastAsia" w:ascii="仿宋_GB2312" w:hAnsi="仿宋_GB2312" w:eastAsia="仿宋_GB2312" w:cs="仿宋_GB2312"/>
          <w:color w:val="auto"/>
          <w:sz w:val="32"/>
          <w:szCs w:val="32"/>
          <w:highlight w:val="none"/>
          <w:lang w:eastAsia="zh-CN"/>
        </w:rPr>
        <w:t>环境保护</w:t>
      </w:r>
      <w:r>
        <w:rPr>
          <w:rFonts w:hint="default" w:ascii="仿宋_GB2312" w:hAnsi="仿宋_GB2312" w:eastAsia="仿宋_GB2312" w:cs="仿宋_GB2312"/>
          <w:color w:val="auto"/>
          <w:sz w:val="32"/>
          <w:szCs w:val="32"/>
          <w:highlight w:val="none"/>
          <w:lang w:eastAsia="zh-CN"/>
        </w:rPr>
        <w:t>“三同时”制度，</w:t>
      </w:r>
      <w:r>
        <w:rPr>
          <w:rFonts w:hint="default" w:ascii="仿宋_GB2312" w:hAnsi="仿宋_GB2312" w:eastAsia="仿宋_GB2312" w:cs="仿宋_GB2312"/>
          <w:color w:val="auto"/>
          <w:sz w:val="32"/>
          <w:szCs w:val="32"/>
          <w:lang w:eastAsia="zh-CN"/>
        </w:rPr>
        <w:t>实施清洁生产</w:t>
      </w:r>
      <w:r>
        <w:rPr>
          <w:rFonts w:hint="eastAsia" w:ascii="仿宋_GB2312" w:hAnsi="仿宋_GB2312" w:eastAsia="仿宋_GB2312" w:cs="仿宋_GB2312"/>
          <w:color w:val="auto"/>
          <w:sz w:val="32"/>
          <w:szCs w:val="32"/>
          <w:lang w:eastAsia="zh-CN"/>
        </w:rPr>
        <w:t>，投入运营并产生实际排污行为之前，你单位应认真梳理并确认各项环境保护措施落实，依法重新申请排污许可证并按证排污</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eastAsia="zh-CN"/>
        </w:rPr>
        <w:t>建成后</w:t>
      </w:r>
      <w:r>
        <w:rPr>
          <w:rFonts w:hint="eastAsia" w:ascii="仿宋_GB2312" w:hAnsi="仿宋_GB2312" w:eastAsia="仿宋_GB2312" w:cs="仿宋_GB2312"/>
          <w:color w:val="auto"/>
          <w:sz w:val="32"/>
          <w:szCs w:val="32"/>
          <w:lang w:eastAsia="zh-CN"/>
        </w:rPr>
        <w:t>应按规定程序实施</w:t>
      </w:r>
      <w:r>
        <w:rPr>
          <w:rFonts w:hint="eastAsia" w:ascii="仿宋_GB2312" w:hAnsi="仿宋_GB2312" w:eastAsia="仿宋_GB2312" w:cs="仿宋_GB2312"/>
          <w:color w:val="auto"/>
          <w:sz w:val="32"/>
          <w:szCs w:val="32"/>
          <w:lang w:val="en-US" w:eastAsia="zh-CN"/>
        </w:rPr>
        <w:t>竣工</w:t>
      </w:r>
      <w:r>
        <w:rPr>
          <w:rFonts w:hint="default" w:ascii="仿宋_GB2312" w:hAnsi="仿宋_GB2312" w:eastAsia="仿宋_GB2312" w:cs="仿宋_GB2312"/>
          <w:color w:val="auto"/>
          <w:sz w:val="32"/>
          <w:szCs w:val="32"/>
          <w:lang w:eastAsia="zh-CN"/>
        </w:rPr>
        <w:t>环</w:t>
      </w:r>
      <w:r>
        <w:rPr>
          <w:rFonts w:hint="eastAsia" w:ascii="仿宋_GB2312" w:hAnsi="仿宋_GB2312" w:eastAsia="仿宋_GB2312" w:cs="仿宋_GB2312"/>
          <w:color w:val="auto"/>
          <w:sz w:val="32"/>
          <w:szCs w:val="32"/>
          <w:lang w:val="en-US" w:eastAsia="zh-CN"/>
        </w:rPr>
        <w:t>境</w:t>
      </w:r>
      <w:r>
        <w:rPr>
          <w:rFonts w:hint="default" w:ascii="仿宋_GB2312" w:hAnsi="仿宋_GB2312" w:eastAsia="仿宋_GB2312" w:cs="仿宋_GB2312"/>
          <w:color w:val="auto"/>
          <w:sz w:val="32"/>
          <w:szCs w:val="32"/>
          <w:lang w:eastAsia="zh-CN"/>
        </w:rPr>
        <w:t>保</w:t>
      </w:r>
      <w:r>
        <w:rPr>
          <w:rFonts w:hint="eastAsia" w:ascii="仿宋_GB2312" w:hAnsi="仿宋_GB2312" w:eastAsia="仿宋_GB2312" w:cs="仿宋_GB2312"/>
          <w:color w:val="auto"/>
          <w:sz w:val="32"/>
          <w:szCs w:val="32"/>
          <w:lang w:val="en-US" w:eastAsia="zh-CN"/>
        </w:rPr>
        <w:t>护</w:t>
      </w:r>
      <w:r>
        <w:rPr>
          <w:rFonts w:hint="default" w:ascii="仿宋_GB2312" w:hAnsi="仿宋_GB2312" w:eastAsia="仿宋_GB2312" w:cs="仿宋_GB2312"/>
          <w:color w:val="auto"/>
          <w:sz w:val="32"/>
          <w:szCs w:val="32"/>
          <w:lang w:eastAsia="zh-CN"/>
        </w:rPr>
        <w:t>验收。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w:t>
      </w:r>
      <w:r>
        <w:rPr>
          <w:rFonts w:hint="eastAsia" w:ascii="仿宋_GB2312" w:eastAsia="仿宋_GB2312"/>
          <w:color w:val="auto"/>
          <w:sz w:val="32"/>
          <w:szCs w:val="32"/>
          <w:highlight w:val="none"/>
          <w:lang w:val="en-US" w:eastAsia="zh-CN"/>
        </w:rPr>
        <w:t>环境影响报告书经批准后，项目的性质、规模、地点、工艺或者防治污染、防止生态破坏的措施发生重大变动的，应当重新报批该项目的环境影响报告书。自环境影响报告书批复之日起，如超过5年方决定开工建设的，环境影响报告书应重新审核。</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lang w:eastAsia="zh-CN"/>
        </w:rPr>
      </w:pPr>
      <w:r>
        <w:rPr>
          <w:rFonts w:hint="default" w:ascii="仿宋_GB2312" w:hAnsi="仿宋_GB2312" w:eastAsia="仿宋_GB2312" w:cs="仿宋_GB2312"/>
          <w:color w:val="auto"/>
          <w:sz w:val="32"/>
          <w:szCs w:val="32"/>
          <w:lang w:eastAsia="zh-CN"/>
        </w:rPr>
        <w:t>我局委托福州市生态环境保护综合执法支队开展该</w:t>
      </w:r>
      <w:r>
        <w:rPr>
          <w:rFonts w:hint="eastAsia" w:ascii="仿宋_GB2312" w:hAnsi="仿宋_GB2312" w:eastAsia="仿宋_GB2312" w:cs="仿宋_GB2312"/>
          <w:color w:val="auto"/>
          <w:sz w:val="32"/>
          <w:szCs w:val="32"/>
          <w:lang w:val="en-US" w:eastAsia="zh-CN"/>
        </w:rPr>
        <w:t>项目</w:t>
      </w:r>
      <w:r>
        <w:rPr>
          <w:rFonts w:hint="default" w:ascii="仿宋_GB2312" w:hAnsi="仿宋_GB2312" w:eastAsia="仿宋_GB2312" w:cs="仿宋_GB2312"/>
          <w:color w:val="auto"/>
          <w:sz w:val="32"/>
          <w:szCs w:val="32"/>
          <w:lang w:eastAsia="zh-CN"/>
        </w:rPr>
        <w:t>环保“三同时”监督检查，由福州市</w:t>
      </w:r>
      <w:r>
        <w:rPr>
          <w:rFonts w:hint="eastAsia" w:ascii="仿宋_GB2312" w:hAnsi="仿宋_GB2312" w:eastAsia="仿宋_GB2312" w:cs="仿宋_GB2312"/>
          <w:color w:val="auto"/>
          <w:sz w:val="32"/>
          <w:szCs w:val="32"/>
          <w:lang w:eastAsia="zh-CN"/>
        </w:rPr>
        <w:t>福清</w:t>
      </w:r>
      <w:r>
        <w:rPr>
          <w:rFonts w:hint="default" w:ascii="仿宋_GB2312" w:hAnsi="仿宋_GB2312" w:eastAsia="仿宋_GB2312" w:cs="仿宋_GB2312"/>
          <w:color w:val="auto"/>
          <w:sz w:val="32"/>
          <w:szCs w:val="32"/>
          <w:lang w:eastAsia="zh-CN"/>
        </w:rPr>
        <w:t>生态环境局负责该项目竣工</w:t>
      </w:r>
      <w:r>
        <w:rPr>
          <w:rFonts w:hint="eastAsia" w:ascii="仿宋_GB2312" w:hAnsi="仿宋_GB2312" w:eastAsia="仿宋_GB2312" w:cs="仿宋_GB2312"/>
          <w:color w:val="auto"/>
          <w:sz w:val="32"/>
          <w:szCs w:val="32"/>
          <w:lang w:val="en-US" w:eastAsia="zh-CN"/>
        </w:rPr>
        <w:t>环保</w:t>
      </w:r>
      <w:r>
        <w:rPr>
          <w:rFonts w:hint="default" w:ascii="仿宋_GB2312" w:hAnsi="仿宋_GB2312" w:eastAsia="仿宋_GB2312" w:cs="仿宋_GB2312"/>
          <w:color w:val="auto"/>
          <w:sz w:val="32"/>
          <w:szCs w:val="32"/>
          <w:lang w:eastAsia="zh-CN"/>
        </w:rPr>
        <w:t>验收后的日常环保监督管理工作。</w:t>
      </w:r>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default" w:ascii="仿宋_GB2312" w:hAnsi="仿宋_GB2312" w:eastAsia="仿宋_GB2312" w:cs="仿宋_GB2312"/>
          <w:color w:val="auto"/>
          <w:sz w:val="32"/>
          <w:szCs w:val="32"/>
          <w:lang w:eastAsia="zh-CN"/>
        </w:rPr>
      </w:pPr>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eastAsia="zh-CN"/>
        </w:rPr>
        <w:t>福州市生态环境局</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right"/>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eastAsia="zh-CN"/>
        </w:rPr>
        <w:t>20</w:t>
      </w:r>
      <w:r>
        <w:rPr>
          <w:rFonts w:hint="eastAsia" w:ascii="仿宋_GB2312" w:hAnsi="仿宋_GB2312" w:eastAsia="仿宋_GB2312" w:cs="仿宋_GB2312"/>
          <w:color w:val="auto"/>
          <w:sz w:val="32"/>
          <w:szCs w:val="32"/>
          <w:lang w:val="en-US" w:eastAsia="zh-CN"/>
        </w:rPr>
        <w:t>26</w:t>
      </w:r>
      <w:r>
        <w:rPr>
          <w:rFonts w:hint="default" w:ascii="仿宋_GB2312" w:hAnsi="仿宋_GB2312" w:eastAsia="仿宋_GB2312" w:cs="仿宋_GB2312"/>
          <w:color w:val="auto"/>
          <w:sz w:val="32"/>
          <w:szCs w:val="32"/>
          <w:lang w:eastAsia="zh-CN"/>
        </w:rPr>
        <w:t>年</w:t>
      </w:r>
      <w:r>
        <w:rPr>
          <w:rFonts w:hint="eastAsia" w:ascii="仿宋_GB2312" w:hAnsi="仿宋_GB2312" w:eastAsia="仿宋_GB2312" w:cs="仿宋_GB2312"/>
          <w:color w:val="auto"/>
          <w:sz w:val="32"/>
          <w:szCs w:val="32"/>
          <w:lang w:val="en-US" w:eastAsia="zh-CN"/>
        </w:rPr>
        <w:t>1</w:t>
      </w:r>
      <w:r>
        <w:rPr>
          <w:rFonts w:hint="default" w:ascii="仿宋_GB2312" w:hAnsi="仿宋_GB2312" w:eastAsia="仿宋_GB2312" w:cs="仿宋_GB2312"/>
          <w:color w:val="auto"/>
          <w:sz w:val="32"/>
          <w:szCs w:val="32"/>
          <w:lang w:eastAsia="zh-CN"/>
        </w:rPr>
        <w:t>月</w:t>
      </w:r>
      <w:r>
        <w:rPr>
          <w:rFonts w:hint="eastAsia" w:ascii="仿宋_GB2312" w:hAnsi="仿宋_GB2312" w:eastAsia="仿宋_GB2312" w:cs="仿宋_GB2312"/>
          <w:color w:val="auto"/>
          <w:sz w:val="32"/>
          <w:szCs w:val="32"/>
          <w:lang w:val="en-US" w:eastAsia="zh-CN"/>
        </w:rPr>
        <w:t>8</w:t>
      </w:r>
      <w:r>
        <w:rPr>
          <w:rFonts w:hint="default" w:ascii="仿宋_GB2312" w:hAnsi="仿宋_GB2312" w:eastAsia="仿宋_GB2312" w:cs="仿宋_GB2312"/>
          <w:color w:val="auto"/>
          <w:sz w:val="32"/>
          <w:szCs w:val="32"/>
          <w:lang w:eastAsia="zh-CN"/>
        </w:rPr>
        <w:t>日</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28"/>
          <w:szCs w:val="36"/>
          <w:lang w:val="en-US" w:eastAsia="zh-CN"/>
        </w:rPr>
      </w:pPr>
    </w:p>
    <w:tbl>
      <w:tblPr>
        <w:tblStyle w:val="10"/>
        <w:tblpPr w:leftFromText="180" w:rightFromText="180" w:vertAnchor="text" w:horzAnchor="page" w:tblpX="2042" w:tblpY="8586"/>
        <w:tblOverlap w:val="never"/>
        <w:tblW w:w="8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3780"/>
        <w:gridCol w:w="3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260" w:type="dxa"/>
            <w:tcBorders>
              <w:top w:val="single" w:color="auto" w:sz="4" w:space="0"/>
              <w:left w:val="nil"/>
              <w:bottom w:val="single" w:color="auto" w:sz="4" w:space="0"/>
              <w:right w:val="nil"/>
            </w:tcBorders>
            <w:vAlign w:val="center"/>
          </w:tcPr>
          <w:p>
            <w:pPr>
              <w:keepNext w:val="0"/>
              <w:keepLines w:val="0"/>
              <w:pageBreakBefore w:val="0"/>
              <w:widowControl w:val="0"/>
              <w:tabs>
                <w:tab w:val="left" w:pos="3885"/>
              </w:tabs>
              <w:kinsoku/>
              <w:wordWrap/>
              <w:overflowPunct/>
              <w:topLinePunct w:val="0"/>
              <w:autoSpaceDE/>
              <w:autoSpaceDN/>
              <w:bidi w:val="0"/>
              <w:ind w:firstLine="179" w:firstLineChars="64"/>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抄送：</w:t>
            </w:r>
          </w:p>
        </w:tc>
        <w:tc>
          <w:tcPr>
            <w:tcW w:w="7455" w:type="dxa"/>
            <w:gridSpan w:val="2"/>
            <w:tcBorders>
              <w:top w:val="single" w:color="auto" w:sz="4" w:space="0"/>
              <w:left w:val="nil"/>
              <w:bottom w:val="single" w:color="auto" w:sz="4" w:space="0"/>
              <w:right w:val="nil"/>
            </w:tcBorders>
            <w:vAlign w:val="center"/>
          </w:tcPr>
          <w:p>
            <w:pPr>
              <w:keepNext w:val="0"/>
              <w:keepLines w:val="0"/>
              <w:pageBreakBefore w:val="0"/>
              <w:widowControl w:val="0"/>
              <w:tabs>
                <w:tab w:val="left" w:pos="3885"/>
              </w:tabs>
              <w:kinsoku/>
              <w:wordWrap/>
              <w:overflowPunct/>
              <w:topLinePunct w:val="0"/>
              <w:autoSpaceDE/>
              <w:autoSpaceDN/>
              <w:bidi w:val="0"/>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福州市生态环境局大气处、土壤处、海洋处，福州市发展和改革委员会、福州市工业和信息化局、</w:t>
            </w:r>
            <w:r>
              <w:rPr>
                <w:rFonts w:hint="eastAsia" w:ascii="仿宋_GB2312" w:eastAsia="仿宋_GB2312"/>
                <w:color w:val="auto"/>
                <w:sz w:val="28"/>
                <w:szCs w:val="28"/>
                <w:highlight w:val="none"/>
              </w:rPr>
              <w:t>福州市生态环境保护综合执法支队，</w:t>
            </w:r>
            <w:r>
              <w:rPr>
                <w:rFonts w:hint="eastAsia" w:ascii="仿宋_GB2312" w:eastAsia="仿宋_GB2312"/>
                <w:color w:val="auto"/>
                <w:sz w:val="28"/>
                <w:szCs w:val="28"/>
                <w:highlight w:val="none"/>
                <w:lang w:val="en-US" w:eastAsia="zh-CN"/>
              </w:rPr>
              <w:t>福州江阴港城经济</w:t>
            </w:r>
            <w:r>
              <w:rPr>
                <w:rFonts w:hint="eastAsia" w:ascii="仿宋_GB2312" w:eastAsia="仿宋_GB2312"/>
                <w:color w:val="auto"/>
                <w:sz w:val="28"/>
                <w:szCs w:val="28"/>
                <w:highlight w:val="none"/>
                <w:lang w:eastAsia="zh-CN"/>
              </w:rPr>
              <w:t>区</w:t>
            </w:r>
            <w:r>
              <w:rPr>
                <w:rFonts w:hint="eastAsia" w:ascii="仿宋_GB2312" w:eastAsia="仿宋_GB2312"/>
                <w:color w:val="auto"/>
                <w:sz w:val="28"/>
                <w:szCs w:val="28"/>
                <w:highlight w:val="none"/>
              </w:rPr>
              <w:t>管</w:t>
            </w:r>
            <w:r>
              <w:rPr>
                <w:rFonts w:hint="eastAsia" w:ascii="仿宋_GB2312" w:eastAsia="仿宋_GB2312"/>
                <w:color w:val="auto"/>
                <w:sz w:val="28"/>
                <w:szCs w:val="28"/>
                <w:highlight w:val="none"/>
                <w:lang w:val="en-US" w:eastAsia="zh-CN"/>
              </w:rPr>
              <w:t>理</w:t>
            </w:r>
            <w:r>
              <w:rPr>
                <w:rFonts w:hint="eastAsia" w:ascii="仿宋_GB2312" w:eastAsia="仿宋_GB2312"/>
                <w:color w:val="auto"/>
                <w:sz w:val="28"/>
                <w:szCs w:val="28"/>
                <w:highlight w:val="none"/>
              </w:rPr>
              <w:t>委</w:t>
            </w:r>
            <w:r>
              <w:rPr>
                <w:rFonts w:hint="eastAsia" w:ascii="仿宋_GB2312" w:eastAsia="仿宋_GB2312"/>
                <w:color w:val="auto"/>
                <w:sz w:val="28"/>
                <w:szCs w:val="28"/>
                <w:highlight w:val="none"/>
                <w:lang w:val="en-US" w:eastAsia="zh-CN"/>
              </w:rPr>
              <w:t>员</w:t>
            </w:r>
            <w:r>
              <w:rPr>
                <w:rFonts w:hint="eastAsia" w:ascii="仿宋_GB2312" w:eastAsia="仿宋_GB2312"/>
                <w:color w:val="auto"/>
                <w:sz w:val="28"/>
                <w:szCs w:val="28"/>
                <w:highlight w:val="none"/>
              </w:rPr>
              <w:t>会，</w:t>
            </w:r>
            <w:r>
              <w:rPr>
                <w:rFonts w:hint="eastAsia" w:ascii="仿宋_GB2312" w:eastAsia="仿宋_GB2312"/>
                <w:color w:val="auto"/>
                <w:sz w:val="28"/>
                <w:szCs w:val="28"/>
                <w:highlight w:val="none"/>
                <w:lang w:val="en-US" w:eastAsia="zh-CN"/>
              </w:rPr>
              <w:t>福州市</w:t>
            </w:r>
            <w:r>
              <w:rPr>
                <w:rFonts w:hint="eastAsia" w:ascii="仿宋_GB2312" w:eastAsia="仿宋_GB2312"/>
                <w:color w:val="auto"/>
                <w:sz w:val="28"/>
                <w:szCs w:val="28"/>
                <w:highlight w:val="none"/>
              </w:rPr>
              <w:t>福清</w:t>
            </w:r>
            <w:r>
              <w:rPr>
                <w:rFonts w:hint="eastAsia" w:ascii="仿宋_GB2312" w:eastAsia="仿宋_GB2312"/>
                <w:color w:val="auto"/>
                <w:sz w:val="28"/>
                <w:szCs w:val="28"/>
                <w:highlight w:val="none"/>
                <w:lang w:val="en-US" w:eastAsia="zh-CN"/>
              </w:rPr>
              <w:t>生态环境</w:t>
            </w:r>
            <w:r>
              <w:rPr>
                <w:rFonts w:hint="eastAsia" w:ascii="仿宋_GB2312" w:eastAsia="仿宋_GB2312"/>
                <w:color w:val="auto"/>
                <w:sz w:val="28"/>
                <w:szCs w:val="28"/>
                <w:highlight w:val="none"/>
              </w:rPr>
              <w:t>局，</w:t>
            </w:r>
            <w:r>
              <w:rPr>
                <w:rFonts w:hint="eastAsia" w:ascii="仿宋_GB2312" w:eastAsia="仿宋_GB2312"/>
                <w:color w:val="auto"/>
                <w:sz w:val="28"/>
                <w:szCs w:val="28"/>
              </w:rPr>
              <w:t>福州市环境影响评价技术中心，</w:t>
            </w:r>
            <w:r>
              <w:rPr>
                <w:rFonts w:hint="eastAsia" w:ascii="仿宋_GB2312" w:eastAsia="仿宋_GB2312"/>
                <w:color w:val="auto"/>
                <w:sz w:val="28"/>
                <w:szCs w:val="28"/>
                <w:highlight w:val="none"/>
                <w:lang w:val="en-US" w:eastAsia="zh-CN"/>
              </w:rPr>
              <w:t>福建省石油化学工业设计院有限公司</w:t>
            </w:r>
            <w:r>
              <w:rPr>
                <w:rFonts w:hint="eastAsia" w:ascii="仿宋_GB2312" w:eastAsia="仿宋_GB2312"/>
                <w:color w:val="auto"/>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5040" w:type="dxa"/>
            <w:gridSpan w:val="2"/>
            <w:tcBorders>
              <w:top w:val="single" w:color="auto" w:sz="4" w:space="0"/>
              <w:left w:val="nil"/>
              <w:bottom w:val="single" w:color="auto" w:sz="4" w:space="0"/>
              <w:right w:val="nil"/>
            </w:tcBorders>
            <w:vAlign w:val="center"/>
          </w:tcPr>
          <w:p>
            <w:pPr>
              <w:keepNext w:val="0"/>
              <w:keepLines w:val="0"/>
              <w:pageBreakBefore w:val="0"/>
              <w:widowControl w:val="0"/>
              <w:tabs>
                <w:tab w:val="left" w:pos="3885"/>
              </w:tabs>
              <w:kinsoku/>
              <w:wordWrap/>
              <w:overflowPunct/>
              <w:topLinePunct w:val="0"/>
              <w:autoSpaceDE/>
              <w:autoSpaceDN/>
              <w:bidi w:val="0"/>
              <w:ind w:firstLine="179" w:firstLineChars="64"/>
              <w:textAlignment w:val="auto"/>
              <w:rPr>
                <w:rFonts w:hint="eastAsia" w:eastAsia="仿宋_GB2312"/>
                <w:color w:val="auto"/>
                <w:sz w:val="28"/>
                <w:szCs w:val="28"/>
                <w:highlight w:val="none"/>
              </w:rPr>
            </w:pPr>
            <w:r>
              <w:rPr>
                <w:rFonts w:hint="eastAsia" w:ascii="仿宋_GB2312" w:eastAsia="仿宋_GB2312"/>
                <w:color w:val="auto"/>
                <w:sz w:val="28"/>
                <w:szCs w:val="28"/>
                <w:highlight w:val="none"/>
              </w:rPr>
              <w:t>福州市</w:t>
            </w:r>
            <w:r>
              <w:rPr>
                <w:rFonts w:hint="eastAsia" w:ascii="仿宋_GB2312" w:eastAsia="仿宋_GB2312"/>
                <w:color w:val="auto"/>
                <w:sz w:val="28"/>
                <w:szCs w:val="28"/>
                <w:highlight w:val="none"/>
                <w:lang w:val="en-US" w:eastAsia="zh-CN"/>
              </w:rPr>
              <w:t>生态</w:t>
            </w:r>
            <w:r>
              <w:rPr>
                <w:rFonts w:hint="eastAsia" w:ascii="仿宋_GB2312" w:eastAsia="仿宋_GB2312"/>
                <w:color w:val="auto"/>
                <w:sz w:val="28"/>
                <w:szCs w:val="28"/>
                <w:highlight w:val="none"/>
              </w:rPr>
              <w:t>环境局</w:t>
            </w:r>
          </w:p>
        </w:tc>
        <w:tc>
          <w:tcPr>
            <w:tcW w:w="3675" w:type="dxa"/>
            <w:tcBorders>
              <w:top w:val="single" w:color="auto" w:sz="4" w:space="0"/>
              <w:left w:val="nil"/>
              <w:bottom w:val="single" w:color="auto" w:sz="4" w:space="0"/>
              <w:right w:val="nil"/>
            </w:tcBorders>
            <w:vAlign w:val="center"/>
          </w:tcPr>
          <w:p>
            <w:pPr>
              <w:keepNext w:val="0"/>
              <w:keepLines w:val="0"/>
              <w:pageBreakBefore w:val="0"/>
              <w:widowControl w:val="0"/>
              <w:tabs>
                <w:tab w:val="left" w:pos="3882"/>
                <w:tab w:val="left" w:pos="3987"/>
              </w:tabs>
              <w:kinsoku/>
              <w:wordWrap/>
              <w:overflowPunct/>
              <w:topLinePunct w:val="0"/>
              <w:autoSpaceDE/>
              <w:autoSpaceDN/>
              <w:bidi w:val="0"/>
              <w:ind w:right="311" w:rightChars="148" w:firstLine="280" w:firstLineChars="100"/>
              <w:jc w:val="both"/>
              <w:textAlignment w:val="auto"/>
              <w:rPr>
                <w:rFonts w:hint="eastAsia" w:eastAsia="仿宋_GB2312"/>
                <w:color w:val="auto"/>
                <w:sz w:val="28"/>
                <w:szCs w:val="28"/>
                <w:highlight w:val="none"/>
              </w:rPr>
            </w:pPr>
            <w:r>
              <w:rPr>
                <w:rFonts w:hint="eastAsia" w:ascii="仿宋_GB2312" w:eastAsia="仿宋_GB2312"/>
                <w:color w:val="auto"/>
                <w:sz w:val="28"/>
                <w:szCs w:val="28"/>
                <w:highlight w:val="none"/>
              </w:rPr>
              <w:t>20</w:t>
            </w:r>
            <w:r>
              <w:rPr>
                <w:rFonts w:hint="eastAsia" w:ascii="仿宋_GB2312" w:eastAsia="仿宋_GB2312"/>
                <w:color w:val="auto"/>
                <w:sz w:val="28"/>
                <w:szCs w:val="28"/>
                <w:highlight w:val="none"/>
                <w:lang w:val="en-US" w:eastAsia="zh-CN"/>
              </w:rPr>
              <w:t>26</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日印发</w:t>
            </w:r>
          </w:p>
        </w:tc>
      </w:tr>
    </w:tbl>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仿宋_GB2312" w:hAnsi="仿宋_GB2312" w:eastAsia="仿宋_GB2312" w:cs="仿宋_GB2312"/>
          <w:color w:val="auto"/>
          <w:sz w:val="28"/>
          <w:szCs w:val="36"/>
          <w:lang w:val="en-US" w:eastAsia="zh-CN"/>
        </w:rPr>
      </w:pPr>
    </w:p>
    <w:sectPr>
      <w:footerReference r:id="rId3" w:type="default"/>
      <w:pgSz w:w="11906" w:h="16838"/>
      <w:pgMar w:top="1417" w:right="1417" w:bottom="141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3"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xMGM2NWJlN2Q1ZTkzMWY3Y2U5YTgzOTNjODgxZTIifQ=="/>
  </w:docVars>
  <w:rsids>
    <w:rsidRoot w:val="696C0580"/>
    <w:rsid w:val="00314828"/>
    <w:rsid w:val="00692738"/>
    <w:rsid w:val="00893649"/>
    <w:rsid w:val="016C3C9E"/>
    <w:rsid w:val="01987DDD"/>
    <w:rsid w:val="025A34EF"/>
    <w:rsid w:val="02D745CA"/>
    <w:rsid w:val="03970A56"/>
    <w:rsid w:val="044802BF"/>
    <w:rsid w:val="04A92894"/>
    <w:rsid w:val="050719E6"/>
    <w:rsid w:val="064C2597"/>
    <w:rsid w:val="07092588"/>
    <w:rsid w:val="08147124"/>
    <w:rsid w:val="0984296C"/>
    <w:rsid w:val="09C61079"/>
    <w:rsid w:val="09D23B88"/>
    <w:rsid w:val="0A981688"/>
    <w:rsid w:val="0BD630CF"/>
    <w:rsid w:val="0CB778E4"/>
    <w:rsid w:val="10CF2EC9"/>
    <w:rsid w:val="1137447D"/>
    <w:rsid w:val="11501824"/>
    <w:rsid w:val="11FF7FAA"/>
    <w:rsid w:val="12BC1803"/>
    <w:rsid w:val="1482434D"/>
    <w:rsid w:val="15E24476"/>
    <w:rsid w:val="163C4FD2"/>
    <w:rsid w:val="17456D3E"/>
    <w:rsid w:val="187E6C6A"/>
    <w:rsid w:val="18D671C0"/>
    <w:rsid w:val="1A9D2BD3"/>
    <w:rsid w:val="1B2C4232"/>
    <w:rsid w:val="1B815C7B"/>
    <w:rsid w:val="1E8C0C3B"/>
    <w:rsid w:val="1ED67B9D"/>
    <w:rsid w:val="1FA70DD5"/>
    <w:rsid w:val="23996722"/>
    <w:rsid w:val="24784727"/>
    <w:rsid w:val="248203F5"/>
    <w:rsid w:val="256E27C6"/>
    <w:rsid w:val="260F1EB6"/>
    <w:rsid w:val="26C41CC7"/>
    <w:rsid w:val="2793399F"/>
    <w:rsid w:val="2816406D"/>
    <w:rsid w:val="28DB47DA"/>
    <w:rsid w:val="29A87A77"/>
    <w:rsid w:val="2AFC7F0E"/>
    <w:rsid w:val="2B145390"/>
    <w:rsid w:val="2C4D4D26"/>
    <w:rsid w:val="2D5910EC"/>
    <w:rsid w:val="2D607006"/>
    <w:rsid w:val="319E1514"/>
    <w:rsid w:val="31E4474B"/>
    <w:rsid w:val="329917AB"/>
    <w:rsid w:val="34111FF3"/>
    <w:rsid w:val="3443336F"/>
    <w:rsid w:val="348509FF"/>
    <w:rsid w:val="353D07B6"/>
    <w:rsid w:val="372A11C3"/>
    <w:rsid w:val="3799364C"/>
    <w:rsid w:val="37D82326"/>
    <w:rsid w:val="3A66497F"/>
    <w:rsid w:val="3A8C7944"/>
    <w:rsid w:val="3F385077"/>
    <w:rsid w:val="3FC47AEC"/>
    <w:rsid w:val="404C4D2B"/>
    <w:rsid w:val="4298462C"/>
    <w:rsid w:val="42AA783F"/>
    <w:rsid w:val="44641345"/>
    <w:rsid w:val="45570A8B"/>
    <w:rsid w:val="45802993"/>
    <w:rsid w:val="46F20AF1"/>
    <w:rsid w:val="46F87E0D"/>
    <w:rsid w:val="47626221"/>
    <w:rsid w:val="498C3945"/>
    <w:rsid w:val="4A481537"/>
    <w:rsid w:val="4A7960E6"/>
    <w:rsid w:val="4B9B0661"/>
    <w:rsid w:val="4BBC405F"/>
    <w:rsid w:val="4D471EA4"/>
    <w:rsid w:val="4DF23350"/>
    <w:rsid w:val="4E552A1D"/>
    <w:rsid w:val="4E6D6B33"/>
    <w:rsid w:val="4E7A0188"/>
    <w:rsid w:val="50482E9C"/>
    <w:rsid w:val="513F53BD"/>
    <w:rsid w:val="51C40B1C"/>
    <w:rsid w:val="52D12E6D"/>
    <w:rsid w:val="531836DF"/>
    <w:rsid w:val="53B272CD"/>
    <w:rsid w:val="540175D9"/>
    <w:rsid w:val="54FC55EB"/>
    <w:rsid w:val="55457924"/>
    <w:rsid w:val="57044ED0"/>
    <w:rsid w:val="571915F2"/>
    <w:rsid w:val="57C912EF"/>
    <w:rsid w:val="57E87DE4"/>
    <w:rsid w:val="587A2A06"/>
    <w:rsid w:val="596207F7"/>
    <w:rsid w:val="59A36E80"/>
    <w:rsid w:val="59D67C91"/>
    <w:rsid w:val="5BA12CE0"/>
    <w:rsid w:val="5CE21136"/>
    <w:rsid w:val="5F350E2D"/>
    <w:rsid w:val="5FD923CA"/>
    <w:rsid w:val="5FF95799"/>
    <w:rsid w:val="614C7264"/>
    <w:rsid w:val="616924BA"/>
    <w:rsid w:val="62CE1C1E"/>
    <w:rsid w:val="62D4558A"/>
    <w:rsid w:val="643F11E3"/>
    <w:rsid w:val="64571752"/>
    <w:rsid w:val="650352F1"/>
    <w:rsid w:val="667E70CA"/>
    <w:rsid w:val="66E040A4"/>
    <w:rsid w:val="67A90512"/>
    <w:rsid w:val="68AE7A88"/>
    <w:rsid w:val="68E936B6"/>
    <w:rsid w:val="68F15C91"/>
    <w:rsid w:val="69370DB3"/>
    <w:rsid w:val="696C0580"/>
    <w:rsid w:val="6AFF58C7"/>
    <w:rsid w:val="6D5034DD"/>
    <w:rsid w:val="6EDC6229"/>
    <w:rsid w:val="6F094457"/>
    <w:rsid w:val="6FB54E0E"/>
    <w:rsid w:val="70594605"/>
    <w:rsid w:val="70FA6FF2"/>
    <w:rsid w:val="718617B2"/>
    <w:rsid w:val="71E43378"/>
    <w:rsid w:val="72C83732"/>
    <w:rsid w:val="735E3BF1"/>
    <w:rsid w:val="76316184"/>
    <w:rsid w:val="77B260F7"/>
    <w:rsid w:val="7807496A"/>
    <w:rsid w:val="7862076C"/>
    <w:rsid w:val="79AE0873"/>
    <w:rsid w:val="7EE7487D"/>
    <w:rsid w:val="7F00277F"/>
    <w:rsid w:val="7F834428"/>
    <w:rsid w:val="7F8550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4"/>
    <w:basedOn w:val="1"/>
    <w:next w:val="1"/>
    <w:semiHidden/>
    <w:unhideWhenUsed/>
    <w:qFormat/>
    <w:uiPriority w:val="0"/>
    <w:pPr>
      <w:keepNext w:val="0"/>
      <w:keepLines w:val="0"/>
      <w:adjustRightInd w:val="0"/>
      <w:snapToGrid w:val="0"/>
      <w:spacing w:beforeLines="0" w:beforeAutospacing="0" w:afterLines="0" w:afterAutospacing="0" w:line="360" w:lineRule="auto"/>
      <w:outlineLvl w:val="3"/>
    </w:pPr>
    <w:rPr>
      <w:rFonts w:ascii="Calibri" w:hAnsi="Calibri" w:eastAsia="宋体" w:cs="Calibri"/>
      <w:b/>
      <w:sz w:val="24"/>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Note Heading"/>
    <w:basedOn w:val="1"/>
    <w:next w:val="1"/>
    <w:qFormat/>
    <w:uiPriority w:val="0"/>
    <w:pPr>
      <w:jc w:val="center"/>
    </w:pPr>
  </w:style>
  <w:style w:type="paragraph" w:styleId="5">
    <w:name w:val="Body Text"/>
    <w:basedOn w:val="1"/>
    <w:next w:val="4"/>
    <w:qFormat/>
    <w:uiPriority w:val="0"/>
    <w:pPr>
      <w:spacing w:after="120"/>
    </w:pPr>
    <w:rPr>
      <w:kern w:val="1"/>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9">
    <w:name w:val="Body Text First Indent"/>
    <w:basedOn w:val="5"/>
    <w:qFormat/>
    <w:uiPriority w:val="99"/>
    <w:pPr>
      <w:ind w:firstLine="420" w:firstLineChars="100"/>
    </w:pPr>
  </w:style>
  <w:style w:type="table" w:styleId="11">
    <w:name w:val="Table Grid"/>
    <w:basedOn w:val="10"/>
    <w:qFormat/>
    <w:uiPriority w:val="9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style>
  <w:style w:type="character" w:styleId="14">
    <w:name w:val="FollowedHyperlink"/>
    <w:basedOn w:val="12"/>
    <w:qFormat/>
    <w:uiPriority w:val="0"/>
    <w:rPr>
      <w:color w:val="000000"/>
      <w:u w:val="none"/>
    </w:rPr>
  </w:style>
  <w:style w:type="character" w:styleId="15">
    <w:name w:val="Emphasis"/>
    <w:basedOn w:val="12"/>
    <w:qFormat/>
    <w:uiPriority w:val="0"/>
  </w:style>
  <w:style w:type="character" w:styleId="16">
    <w:name w:val="Hyperlink"/>
    <w:basedOn w:val="12"/>
    <w:qFormat/>
    <w:uiPriority w:val="0"/>
    <w:rPr>
      <w:color w:val="000000"/>
      <w:u w:val="none"/>
    </w:rPr>
  </w:style>
  <w:style w:type="paragraph" w:customStyle="1" w:styleId="17">
    <w:name w:val="表头样式"/>
    <w:basedOn w:val="3"/>
    <w:next w:val="1"/>
    <w:qFormat/>
    <w:uiPriority w:val="0"/>
    <w:pPr>
      <w:keepNext w:val="0"/>
      <w:keepLines w:val="0"/>
      <w:adjustRightInd w:val="0"/>
      <w:snapToGrid w:val="0"/>
      <w:spacing w:line="360" w:lineRule="auto"/>
      <w:jc w:val="center"/>
      <w:outlineLvl w:val="4"/>
    </w:pPr>
    <w:rPr>
      <w:rFonts w:ascii="Calibri" w:hAnsi="Calibri" w:eastAsia="宋体" w:cs="Calibri"/>
      <w:snapToGrid w:val="0"/>
      <w:kern w:val="0"/>
      <w:sz w:val="24"/>
    </w:rPr>
  </w:style>
  <w:style w:type="paragraph" w:customStyle="1" w:styleId="18">
    <w:name w:val="YJ正文"/>
    <w:basedOn w:val="1"/>
    <w:qFormat/>
    <w:uiPriority w:val="0"/>
    <w:pPr>
      <w:adjustRightInd w:val="0"/>
      <w:snapToGrid w:val="0"/>
      <w:spacing w:line="360" w:lineRule="auto"/>
      <w:ind w:firstLine="420" w:firstLineChars="200"/>
    </w:pPr>
    <w:rPr>
      <w:rFonts w:ascii="Calibri" w:hAnsi="Calibri" w:eastAsia="宋体" w:cs="Calibri"/>
      <w:sz w:val="24"/>
    </w:rPr>
  </w:style>
  <w:style w:type="paragraph" w:customStyle="1" w:styleId="19">
    <w:name w:val="YJ表格内容"/>
    <w:next w:val="1"/>
    <w:qFormat/>
    <w:uiPriority w:val="0"/>
    <w:pPr>
      <w:widowControl w:val="0"/>
      <w:adjustRightInd w:val="0"/>
      <w:snapToGrid w:val="0"/>
      <w:jc w:val="center"/>
    </w:pPr>
    <w:rPr>
      <w:rFonts w:ascii="Calibri" w:hAnsi="Calibri" w:eastAsia="宋体" w:cs="Calibri"/>
      <w:snapToGrid w:val="0"/>
      <w:sz w:val="21"/>
      <w:szCs w:val="21"/>
      <w:lang w:val="en-US" w:eastAsia="zh-CN" w:bidi="ar-SA"/>
    </w:rPr>
  </w:style>
  <w:style w:type="character" w:customStyle="1" w:styleId="20">
    <w:name w:val="lable"/>
    <w:basedOn w:val="12"/>
    <w:qFormat/>
    <w:uiPriority w:val="0"/>
    <w:rPr>
      <w:sz w:val="24"/>
      <w:szCs w:val="24"/>
    </w:rPr>
  </w:style>
  <w:style w:type="character" w:customStyle="1" w:styleId="21">
    <w:name w:val="radio-btn"/>
    <w:basedOn w:val="12"/>
    <w:qFormat/>
    <w:uiPriority w:val="0"/>
    <w:rPr>
      <w:sz w:val="24"/>
      <w:szCs w:val="24"/>
    </w:rPr>
  </w:style>
  <w:style w:type="character" w:customStyle="1" w:styleId="22">
    <w:name w:val="radio-btn1"/>
    <w:basedOn w:val="12"/>
    <w:qFormat/>
    <w:uiPriority w:val="0"/>
    <w:rPr>
      <w:sz w:val="24"/>
      <w:szCs w:val="24"/>
    </w:rPr>
  </w:style>
  <w:style w:type="character" w:customStyle="1" w:styleId="23">
    <w:name w:val="radio-btn2"/>
    <w:basedOn w:val="12"/>
    <w:qFormat/>
    <w:uiPriority w:val="0"/>
    <w:rPr>
      <w:sz w:val="24"/>
      <w:szCs w:val="24"/>
    </w:rPr>
  </w:style>
  <w:style w:type="character" w:customStyle="1" w:styleId="24">
    <w:name w:val="lishishuju"/>
    <w:basedOn w:val="12"/>
    <w:qFormat/>
    <w:uiPriority w:val="0"/>
    <w:rPr>
      <w:b/>
      <w:bCs/>
      <w:color w:val="000052"/>
      <w:sz w:val="24"/>
      <w:szCs w:val="24"/>
      <w:bdr w:val="single" w:color="E3E3E3" w:sz="6" w:space="0"/>
    </w:rPr>
  </w:style>
  <w:style w:type="character" w:customStyle="1" w:styleId="25">
    <w:name w:val="cur1"/>
    <w:basedOn w:val="12"/>
    <w:qFormat/>
    <w:uiPriority w:val="0"/>
    <w:rPr>
      <w:color w:val="FFFFFF"/>
      <w:shd w:val="clear" w:fill="2F6B98"/>
    </w:rPr>
  </w:style>
  <w:style w:type="character" w:customStyle="1" w:styleId="26">
    <w:name w:val="znspantitle"/>
    <w:basedOn w:val="12"/>
    <w:qFormat/>
    <w:uiPriority w:val="0"/>
    <w:rPr>
      <w:b/>
      <w:bCs/>
      <w:color w:val="333333"/>
    </w:rPr>
  </w:style>
  <w:style w:type="character" w:customStyle="1" w:styleId="27">
    <w:name w:val="sp3"/>
    <w:basedOn w:val="12"/>
    <w:qFormat/>
    <w:uiPriority w:val="0"/>
  </w:style>
  <w:style w:type="character" w:customStyle="1" w:styleId="28">
    <w:name w:val="sp1"/>
    <w:basedOn w:val="12"/>
    <w:qFormat/>
    <w:uiPriority w:val="0"/>
  </w:style>
  <w:style w:type="character" w:customStyle="1" w:styleId="29">
    <w:name w:val="sp4"/>
    <w:basedOn w:val="12"/>
    <w:qFormat/>
    <w:uiPriority w:val="0"/>
  </w:style>
  <w:style w:type="character" w:customStyle="1" w:styleId="30">
    <w:name w:val="sp41"/>
    <w:basedOn w:val="12"/>
    <w:qFormat/>
    <w:uiPriority w:val="0"/>
  </w:style>
  <w:style w:type="character" w:customStyle="1" w:styleId="31">
    <w:name w:val="sp42"/>
    <w:basedOn w:val="12"/>
    <w:qFormat/>
    <w:uiPriority w:val="0"/>
  </w:style>
  <w:style w:type="character" w:customStyle="1" w:styleId="32">
    <w:name w:val="first-child"/>
    <w:basedOn w:val="12"/>
    <w:qFormat/>
    <w:uiPriority w:val="0"/>
  </w:style>
  <w:style w:type="character" w:customStyle="1" w:styleId="33">
    <w:name w:val="nurr"/>
    <w:basedOn w:val="12"/>
    <w:qFormat/>
    <w:uiPriority w:val="0"/>
  </w:style>
  <w:style w:type="character" w:customStyle="1" w:styleId="34">
    <w:name w:val="sp22"/>
    <w:basedOn w:val="12"/>
    <w:qFormat/>
    <w:uiPriority w:val="0"/>
  </w:style>
  <w:style w:type="character" w:customStyle="1" w:styleId="35">
    <w:name w:val="sp23"/>
    <w:basedOn w:val="12"/>
    <w:qFormat/>
    <w:uiPriority w:val="0"/>
  </w:style>
  <w:style w:type="paragraph" w:customStyle="1" w:styleId="36">
    <w:name w:val="5文章正文"/>
    <w:basedOn w:val="1"/>
    <w:qFormat/>
    <w:uiPriority w:val="0"/>
    <w:pPr>
      <w:spacing w:line="360" w:lineRule="auto"/>
      <w:ind w:firstLine="200"/>
    </w:pPr>
    <w:rPr>
      <w:kern w:val="1"/>
      <w:sz w:val="24"/>
    </w:rPr>
  </w:style>
  <w:style w:type="paragraph" w:customStyle="1" w:styleId="37">
    <w:name w:val="5文章(治)"/>
    <w:basedOn w:val="36"/>
    <w:qFormat/>
    <w:uiPriority w:val="0"/>
    <w:pPr>
      <w:widowControl w:val="0"/>
      <w:snapToGrid w:val="0"/>
      <w:spacing w:line="360" w:lineRule="auto"/>
      <w:ind w:firstLine="200" w:firstLineChars="200"/>
      <w:jc w:val="both"/>
    </w:pPr>
    <w:rPr>
      <w:rFonts w:ascii="Times New Roman" w:hAnsi="Times New Roman" w:eastAsia="宋体" w:cs="Times New Roman"/>
      <w:kern w:val="0"/>
      <w:sz w:val="24"/>
      <w:szCs w:val="28"/>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hs</Company>
  <Pages>7</Pages>
  <Words>3018</Words>
  <Characters>3295</Characters>
  <Lines>0</Lines>
  <Paragraphs>0</Paragraphs>
  <TotalTime>326</TotalTime>
  <ScaleCrop>false</ScaleCrop>
  <LinksUpToDate>false</LinksUpToDate>
  <CharactersWithSpaces>3318</CharactersWithSpaces>
  <Application>WPS Office_11.8.2.11473_F1E327BC-269C-435d-A152-05C5408002CA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2021-04-28T01:12:00Z</dcterms:created>
  <dc:creator>WPS_1619163745</dc:creator>
  <cp:lastModifiedBy>NTKO</cp:lastModifiedBy>
  <cp:lastPrinted>2024-02-04T02:57:00Z</cp:lastPrinted>
  <dcterms:modified xsi:type="dcterms:W3CDTF">2026-01-08T06:20:16Z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2052-11.8.2.11473</vt:lpwstr>
  </property>
  <property fmtid="{D5CDD505-2E9C-101B-9397-08002B2CF9AE}" pid="3" name="ICV">
    <vt:lpwstr>DF9571CAFF5344038D951172B840FA65_13</vt:lpwstr>
  </property>
  <property fmtid="{D5CDD505-2E9C-101B-9397-08002B2CF9AE}" pid="4" name="KSOTemplateDocerSaveRecord">
    <vt:lpwstr>eyJoZGlkIjoiMDkxNDM5NTI3YTI2MzU0NTA3MzliODM2N2FlYTc2NjYiLCJ1c2VySWQiOiI0MjM3NjMwNzUifQ==</vt:lpwstr>
  </property>
</Properties>
</file>