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val="0"/>
        <w:overflowPunct/>
        <w:topLinePunct w:val="0"/>
        <w:autoSpaceDE/>
        <w:autoSpaceDN/>
        <w:bidi w:val="0"/>
        <w:adjustRightInd/>
        <w:snapToGrid w:val="0"/>
        <w:spacing w:before="1400" w:beforeAutospacing="0" w:after="313" w:afterLines="100" w:afterAutospacing="0" w:line="240" w:lineRule="auto"/>
        <w:ind w:left="0" w:leftChars="0" w:right="250" w:rightChars="119" w:firstLine="0" w:firstLineChars="0"/>
        <w:jc w:val="right"/>
        <w:textAlignment w:val="auto"/>
        <w:outlineLvl w:val="9"/>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榕环评〔2025〕75号</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313" w:afterLines="100" w:afterAutospacing="0"/>
        <w:ind w:left="0" w:right="0"/>
        <w:jc w:val="center"/>
        <w:textAlignment w:val="auto"/>
        <w:rPr>
          <w:rFonts w:hint="eastAsia" w:ascii="长城小标宋体" w:hAnsi="长城小标宋体" w:eastAsia="长城小标宋体" w:cs="长城小标宋体"/>
          <w:b/>
          <w:bCs/>
          <w:kern w:val="2"/>
          <w:sz w:val="40"/>
          <w:szCs w:val="40"/>
          <w:highlight w:val="none"/>
          <w:lang w:val="en-US" w:eastAsia="zh-CN" w:bidi="ar"/>
        </w:rPr>
      </w:pPr>
      <w:r>
        <w:rPr>
          <w:rFonts w:hint="eastAsia" w:ascii="长城小标宋体" w:hAnsi="长城小标宋体" w:eastAsia="长城小标宋体" w:cs="长城小标宋体"/>
          <w:b/>
          <w:bCs/>
          <w:kern w:val="2"/>
          <w:sz w:val="40"/>
          <w:szCs w:val="40"/>
          <w:highlight w:val="none"/>
          <w:lang w:val="en-US" w:eastAsia="zh-CN" w:bidi="ar"/>
        </w:rPr>
        <w:t>福州市生态环境局关于闽侯青口汽车城福厦客专附属维修道路工程（纵一路）、闽侯青口汽车城福厦客专附属维修道路工程（纵二路）、闽侯青口汽车城福厦客专附属维修道路工程（横三路）环境影响报告表的审批意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ind w:left="0" w:right="0"/>
        <w:jc w:val="center"/>
        <w:textAlignment w:val="auto"/>
        <w:rPr>
          <w:rFonts w:hint="eastAsia" w:ascii="长城小标宋体" w:hAnsi="长城小标宋体" w:eastAsia="长城小标宋体" w:cs="长城小标宋体"/>
          <w:kern w:val="2"/>
          <w:sz w:val="40"/>
          <w:szCs w:val="40"/>
          <w:highlight w:val="none"/>
          <w:lang w:val="en-US" w:eastAsia="zh-CN" w:bidi="ar"/>
        </w:rPr>
      </w:pP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jc w:val="both"/>
        <w:textAlignment w:val="auto"/>
        <w:rPr>
          <w:rFonts w:hint="eastAsia" w:ascii="仿宋_GB2312" w:eastAsia="仿宋_GB2312" w:cs="仿宋_GB2312"/>
          <w:sz w:val="32"/>
          <w:szCs w:val="32"/>
          <w:highlight w:val="none"/>
          <w:lang w:val="en-US"/>
        </w:rPr>
      </w:pPr>
      <w:r>
        <w:rPr>
          <w:rFonts w:hint="eastAsia" w:ascii="仿宋_GB2312" w:hAnsi="Times New Roman" w:eastAsia="仿宋_GB2312" w:cs="仿宋_GB2312"/>
          <w:kern w:val="2"/>
          <w:sz w:val="32"/>
          <w:szCs w:val="32"/>
          <w:highlight w:val="none"/>
          <w:lang w:val="en-US" w:eastAsia="zh-CN" w:bidi="ar"/>
        </w:rPr>
        <w:t>福州东南汽车城投资发展集团有限公司：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你司报送的《闽侯青口汽车城福厦客专附属维修道路工程（纵一路）环境影响报告表》《闽侯青口汽车城福厦客专附属维修道路工程（纵二路）环境影响报告表》《闽侯青口汽车城福厦客专附属维修道路工程（横三路）环境影响报告表》(以下简称《报告表》)收悉。三个项目符合《福州市生态环境局关于优化调整建设项目环境影响评价文件审批权限及分工 提升环评审批质效的通知》（榕环保综〔2023〕51号）中区域“打包”审批要求，进行环评“打包”审批。根据《中华人民共和国环境影响评价法》第二十二条等规定，并征求福州市闽侯生态环境局意见，现提出审批意见如下：</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b w:val="0"/>
          <w:bCs w:val="0"/>
          <w:kern w:val="0"/>
          <w:sz w:val="32"/>
          <w:szCs w:val="32"/>
          <w:highlight w:val="yellow"/>
          <w:lang w:val="en-US" w:eastAsia="zh-CN" w:bidi="ar"/>
        </w:rPr>
      </w:pPr>
      <w:r>
        <w:rPr>
          <w:rFonts w:hint="eastAsia" w:ascii="仿宋_GB2312" w:hAnsi="Times New Roman" w:eastAsia="仿宋_GB2312" w:cs="仿宋_GB2312"/>
          <w:kern w:val="2"/>
          <w:sz w:val="32"/>
          <w:szCs w:val="32"/>
          <w:highlight w:val="none"/>
          <w:lang w:val="en-US" w:eastAsia="zh-CN" w:bidi="ar"/>
        </w:rPr>
        <w:t>一、闽侯青口汽车城福厦客专附属维修道路工程（纵一路）位于福州市闽侯县青口镇、祥谦镇</w:t>
      </w:r>
      <w:r>
        <w:rPr>
          <w:rFonts w:hint="eastAsia" w:ascii="仿宋_GB2312" w:hAnsi="Times New Roman" w:eastAsia="仿宋_GB2312" w:cs="仿宋_GB2312"/>
          <w:b w:val="0"/>
          <w:bCs w:val="0"/>
          <w:kern w:val="2"/>
          <w:sz w:val="32"/>
          <w:szCs w:val="32"/>
          <w:highlight w:val="none"/>
          <w:lang w:val="en-US" w:eastAsia="zh-CN" w:bidi="ar"/>
        </w:rPr>
        <w:t>，主要建设内容：道路、交通、桥梁、雨水、污水、给水、电力、通信、</w:t>
      </w:r>
      <w:r>
        <w:rPr>
          <w:rFonts w:hint="eastAsia" w:ascii="仿宋_GB2312" w:hAnsi="Times New Roman" w:eastAsia="仿宋_GB2312" w:cs="宋体"/>
          <w:b w:val="0"/>
          <w:bCs w:val="0"/>
          <w:kern w:val="0"/>
          <w:sz w:val="32"/>
          <w:szCs w:val="32"/>
          <w:highlight w:val="none"/>
          <w:lang w:val="en-US" w:eastAsia="zh-CN" w:bidi="ar"/>
        </w:rPr>
        <w:t>照明工程等。其中道路工程主要建设：起点与前洋路平面交叉，终点与横一路平面交叉，长1185.783m，宽30m，道路等级为城市次干路；</w:t>
      </w:r>
      <w:r>
        <w:rPr>
          <w:rFonts w:hint="eastAsia" w:ascii="仿宋_GB2312" w:hAnsi="Times New Roman" w:eastAsia="仿宋_GB2312" w:cs="宋体"/>
          <w:kern w:val="0"/>
          <w:sz w:val="32"/>
          <w:szCs w:val="32"/>
          <w:highlight w:val="none"/>
          <w:lang w:val="en-US" w:eastAsia="zh-CN" w:bidi="ar"/>
        </w:rPr>
        <w:t>桥梁工程：跨越透头河建设一座1-20m的桥梁，长27.04</w:t>
      </w:r>
      <w:r>
        <w:rPr>
          <w:rFonts w:hint="eastAsia" w:ascii="仿宋_GB2312" w:hAnsi="Times New Roman" w:eastAsia="仿宋_GB2312" w:cs="宋体"/>
          <w:b w:val="0"/>
          <w:bCs w:val="0"/>
          <w:kern w:val="0"/>
          <w:sz w:val="32"/>
          <w:szCs w:val="32"/>
          <w:highlight w:val="none"/>
          <w:lang w:val="en-US" w:eastAsia="zh-CN" w:bidi="ar"/>
        </w:rPr>
        <w:t>m。</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闽侯青口汽车城福厦客专附属维修道路工程（纵二路）</w:t>
      </w:r>
      <w:r>
        <w:rPr>
          <w:rFonts w:hint="eastAsia" w:ascii="仿宋_GB2312" w:hAnsi="Times New Roman" w:eastAsia="仿宋_GB2312" w:cs="宋体"/>
          <w:kern w:val="0"/>
          <w:sz w:val="32"/>
          <w:szCs w:val="32"/>
          <w:highlight w:val="none"/>
          <w:lang w:val="en-US" w:eastAsia="zh-CN" w:bidi="ar"/>
        </w:rPr>
        <w:t>位于福州市闽侯县祥谦镇，主要建设内容：</w:t>
      </w:r>
      <w:r>
        <w:rPr>
          <w:rFonts w:hint="eastAsia" w:ascii="仿宋_GB2312" w:hAnsi="Times New Roman" w:eastAsia="仿宋_GB2312" w:cs="仿宋_GB2312"/>
          <w:b w:val="0"/>
          <w:bCs w:val="0"/>
          <w:kern w:val="2"/>
          <w:sz w:val="32"/>
          <w:szCs w:val="32"/>
          <w:highlight w:val="none"/>
          <w:lang w:val="en-US" w:eastAsia="zh-CN" w:bidi="ar"/>
        </w:rPr>
        <w:t>道路、交通、桥梁、雨水、污水、给水、电力、通信、</w:t>
      </w:r>
      <w:r>
        <w:rPr>
          <w:rFonts w:hint="eastAsia" w:ascii="仿宋_GB2312" w:hAnsi="Times New Roman" w:eastAsia="仿宋_GB2312" w:cs="宋体"/>
          <w:b w:val="0"/>
          <w:bCs w:val="0"/>
          <w:kern w:val="0"/>
          <w:sz w:val="32"/>
          <w:szCs w:val="32"/>
          <w:highlight w:val="none"/>
          <w:lang w:val="en-US" w:eastAsia="zh-CN" w:bidi="ar"/>
        </w:rPr>
        <w:t>照明工程等。</w:t>
      </w:r>
      <w:r>
        <w:rPr>
          <w:rFonts w:hint="eastAsia" w:ascii="仿宋_GB2312" w:hAnsi="Times New Roman" w:eastAsia="仿宋_GB2312" w:cs="宋体"/>
          <w:kern w:val="0"/>
          <w:sz w:val="32"/>
          <w:szCs w:val="32"/>
          <w:highlight w:val="none"/>
          <w:lang w:val="en-US" w:eastAsia="zh-CN" w:bidi="ar"/>
        </w:rPr>
        <w:t xml:space="preserve">其中道路工程主要建设：起点与横三路平面交叉，终点与横二路平面交叉，长392.171m，宽20m，道路等级为城市支路。桥梁工程：跨越兰圃河支流建设一座1-16m的桥梁，长23.04m。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yellow"/>
          <w:lang w:val="en-US" w:eastAsia="zh-CN" w:bidi="ar"/>
        </w:rPr>
      </w:pPr>
      <w:r>
        <w:rPr>
          <w:rFonts w:hint="eastAsia" w:ascii="仿宋_GB2312" w:hAnsi="Times New Roman" w:eastAsia="仿宋_GB2312" w:cs="仿宋_GB2312"/>
          <w:kern w:val="2"/>
          <w:sz w:val="32"/>
          <w:szCs w:val="32"/>
          <w:highlight w:val="none"/>
          <w:lang w:val="en-US" w:eastAsia="zh-CN" w:bidi="ar"/>
        </w:rPr>
        <w:t>闽侯青口汽车城福厦客专附属维修道路工程（横三路）</w:t>
      </w:r>
      <w:r>
        <w:rPr>
          <w:rFonts w:hint="eastAsia" w:ascii="仿宋_GB2312" w:hAnsi="Times New Roman" w:eastAsia="仿宋_GB2312" w:cs="宋体"/>
          <w:kern w:val="0"/>
          <w:sz w:val="32"/>
          <w:szCs w:val="32"/>
          <w:highlight w:val="none"/>
          <w:lang w:val="en-US" w:eastAsia="zh-CN" w:bidi="ar"/>
        </w:rPr>
        <w:t>位于福州市闽侯县青口镇、祥谦镇，主要建设内容：</w:t>
      </w:r>
      <w:r>
        <w:rPr>
          <w:rFonts w:hint="eastAsia" w:ascii="仿宋_GB2312" w:hAnsi="Times New Roman" w:eastAsia="仿宋_GB2312" w:cs="仿宋_GB2312"/>
          <w:b w:val="0"/>
          <w:bCs w:val="0"/>
          <w:kern w:val="2"/>
          <w:sz w:val="32"/>
          <w:szCs w:val="32"/>
          <w:highlight w:val="none"/>
          <w:lang w:val="en-US" w:eastAsia="zh-CN" w:bidi="ar"/>
        </w:rPr>
        <w:t>道路、交通、桥梁、雨水、污水、给水、电力、通信、</w:t>
      </w:r>
      <w:r>
        <w:rPr>
          <w:rFonts w:hint="eastAsia" w:ascii="仿宋_GB2312" w:hAnsi="Times New Roman" w:eastAsia="仿宋_GB2312" w:cs="宋体"/>
          <w:b w:val="0"/>
          <w:bCs w:val="0"/>
          <w:kern w:val="0"/>
          <w:sz w:val="32"/>
          <w:szCs w:val="32"/>
          <w:highlight w:val="none"/>
          <w:lang w:val="en-US" w:eastAsia="zh-CN" w:bidi="ar"/>
        </w:rPr>
        <w:t>照明工程等。</w:t>
      </w:r>
      <w:r>
        <w:rPr>
          <w:rFonts w:hint="eastAsia" w:ascii="仿宋_GB2312" w:hAnsi="Times New Roman" w:eastAsia="仿宋_GB2312" w:cs="宋体"/>
          <w:kern w:val="0"/>
          <w:sz w:val="32"/>
          <w:szCs w:val="32"/>
          <w:highlight w:val="none"/>
          <w:lang w:val="en-US" w:eastAsia="zh-CN" w:bidi="ar"/>
        </w:rPr>
        <w:t>其中道路工程主要建设：起点与纵一路平面交叉，终点与峡东路平面交叉，长578.184m，宽20m，道路等级为城市支路。桥梁工程：跨越兰圃河建设一座2-20m的桥梁，长47.04m。</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rPr>
          <w:rFonts w:hint="eastAsia"/>
          <w:highlight w:val="none"/>
          <w:lang w:val="en-US" w:eastAsia="zh-CN"/>
        </w:rPr>
      </w:pPr>
      <w:r>
        <w:rPr>
          <w:rFonts w:hint="eastAsia" w:ascii="仿宋_GB2312" w:hAnsi="Times New Roman" w:eastAsia="仿宋_GB2312" w:cs="宋体"/>
          <w:kern w:val="0"/>
          <w:sz w:val="32"/>
          <w:szCs w:val="32"/>
          <w:highlight w:val="none"/>
          <w:lang w:val="en-US" w:eastAsia="zh-CN" w:bidi="ar"/>
        </w:rPr>
        <w:t>根据《报告表》评价结论，以上项目均</w:t>
      </w:r>
      <w:r>
        <w:rPr>
          <w:rFonts w:hint="eastAsia" w:ascii="仿宋_GB2312" w:hAnsi="Times New Roman" w:eastAsia="仿宋_GB2312" w:cs="仿宋_GB2312"/>
          <w:color w:val="000000" w:themeColor="text1"/>
          <w:kern w:val="2"/>
          <w:sz w:val="32"/>
          <w:szCs w:val="32"/>
          <w:highlight w:val="none"/>
          <w:lang w:val="en-US" w:eastAsia="zh-CN" w:bidi="ar"/>
          <w14:textFill>
            <w14:solidFill>
              <w14:schemeClr w14:val="tx1"/>
            </w14:solidFill>
          </w14:textFill>
        </w:rPr>
        <w:t>符合生态环境保护相关法律法规和政策，符合生态环境分区管控要求</w:t>
      </w:r>
      <w:r>
        <w:rPr>
          <w:rFonts w:hint="eastAsia" w:ascii="仿宋_GB2312" w:hAnsi="Times New Roman" w:eastAsia="仿宋_GB2312" w:cs="宋体"/>
          <w:kern w:val="0"/>
          <w:sz w:val="32"/>
          <w:szCs w:val="32"/>
          <w:highlight w:val="none"/>
          <w:lang w:val="en-US" w:eastAsia="zh-CN" w:bidi="ar"/>
        </w:rPr>
        <w:t>。在严格落实《报告表》提出的各项生态环境保护和环境风险防控措施，加强环境管理的前提下，从环境影响角度分析，项目建设可行。我局原则同意《报告表》中所列建设项目的性质、规模、地点、工艺和拟采取的环境保护对策措施。</w:t>
      </w:r>
    </w:p>
    <w:p>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560" w:lineRule="exact"/>
        <w:ind w:right="0" w:rightChars="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二、项目在施工和运营中应认真落实《报告表》提出的各项环境保护措施，并重点做好以下工作：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Times New Roman" w:eastAsia="仿宋_GB2312" w:cs="宋体"/>
          <w:strike w:val="0"/>
          <w:dstrike w:val="0"/>
          <w:color w:val="0000FF"/>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一）噪声污染防治。合理布局施工现场、安排施工作业时间，采取必要的措施防止施工噪声对沿线声环境敏感目标的影响。运营期加强对沿线声环境敏感目标的噪声监测，预留资金，根据跟踪监测结果适时增补、完善噪声防治措施，确保声环境质量达到《声环境质量标准》（GB3096-2008）表1中2类、3类环境噪声限值（临街建筑以高于三层楼房以上(含三层)的建筑为主，第一排建筑物面向街道一侧范围内执行 4a类标准;临街建筑以低于三层楼房(含开阔地)的建筑为主，相邻区域为2类声环境功能区，道路边界外35米范围内执行4a类标准；相邻区域为3类声环境功能区，道路边界外25米范围内执行4a类标准)</w:t>
      </w:r>
      <w:r>
        <w:rPr>
          <w:rFonts w:hint="eastAsia" w:ascii="仿宋_GB2312" w:hAnsi="Times New Roman" w:eastAsia="仿宋_GB2312" w:cs="宋体"/>
          <w:strike w:val="0"/>
          <w:dstrike w:val="0"/>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left"/>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（二）强化施工期环境管理，不得擅自扩大临时用地面积。</w:t>
      </w:r>
      <w:r>
        <w:rPr>
          <w:rFonts w:hint="eastAsia" w:ascii="仿宋_GB2312" w:eastAsia="仿宋_GB2312"/>
          <w:bCs/>
          <w:sz w:val="32"/>
          <w:szCs w:val="32"/>
          <w:highlight w:val="none"/>
          <w:lang w:eastAsia="zh-CN"/>
        </w:rPr>
        <w:t>易扬尘作业应采取湿法</w:t>
      </w:r>
      <w:r>
        <w:rPr>
          <w:rFonts w:hint="eastAsia" w:ascii="仿宋_GB2312" w:eastAsia="仿宋_GB2312"/>
          <w:bCs/>
          <w:sz w:val="32"/>
          <w:szCs w:val="32"/>
          <w:highlight w:val="none"/>
          <w:lang w:val="en-US" w:eastAsia="zh-CN"/>
        </w:rPr>
        <w:t>,</w:t>
      </w:r>
      <w:r>
        <w:rPr>
          <w:rFonts w:hint="eastAsia" w:ascii="仿宋_GB2312" w:hAnsi="Times New Roman" w:eastAsia="仿宋_GB2312" w:cs="宋体"/>
          <w:kern w:val="0"/>
          <w:sz w:val="32"/>
          <w:szCs w:val="32"/>
          <w:highlight w:val="none"/>
          <w:lang w:val="en-US" w:eastAsia="zh-CN" w:bidi="ar"/>
        </w:rPr>
        <w:t>施工场地应通过设置围挡、喷淋、道路洒水降尘等措施减少扬尘影响。</w:t>
      </w:r>
      <w:r>
        <w:rPr>
          <w:rFonts w:hint="eastAsia" w:ascii="仿宋_GB2312" w:eastAsia="仿宋_GB2312"/>
          <w:bCs/>
          <w:sz w:val="32"/>
          <w:szCs w:val="32"/>
          <w:highlight w:val="none"/>
        </w:rPr>
        <w:t>严格控制施工作业时间</w:t>
      </w:r>
      <w:r>
        <w:rPr>
          <w:rFonts w:hint="eastAsia" w:ascii="仿宋_GB2312" w:eastAsia="仿宋_GB2312"/>
          <w:bCs/>
          <w:sz w:val="32"/>
          <w:szCs w:val="32"/>
          <w:highlight w:val="none"/>
          <w:lang w:eastAsia="zh-CN"/>
        </w:rPr>
        <w:t>，减少对周边环境的影响</w:t>
      </w:r>
      <w:r>
        <w:rPr>
          <w:rFonts w:hint="eastAsia" w:ascii="Times New Roman" w:hAnsi="Times New Roman" w:eastAsia="宋体" w:cs="Times New Roman"/>
          <w:color w:val="auto"/>
          <w:sz w:val="24"/>
          <w:szCs w:val="22"/>
          <w:highlight w:val="none"/>
          <w:lang w:val="en-US" w:eastAsia="zh-CN"/>
        </w:rPr>
        <w:t>。</w:t>
      </w:r>
      <w:r>
        <w:rPr>
          <w:rFonts w:hint="eastAsia" w:ascii="仿宋_GB2312" w:hAnsi="Times New Roman" w:eastAsia="仿宋_GB2312" w:cs="宋体"/>
          <w:kern w:val="0"/>
          <w:sz w:val="32"/>
          <w:szCs w:val="32"/>
          <w:highlight w:val="none"/>
          <w:lang w:val="en-US" w:eastAsia="zh-CN" w:bidi="ar"/>
        </w:rPr>
        <w:t>施工废水统一收集经沉淀池沉淀处理后回用，不外排。开挖土方应及时回填或清运，弃方运至渣土主管部门指定的弃土点。</w:t>
      </w:r>
      <w:r>
        <w:rPr>
          <w:rFonts w:hint="eastAsia" w:ascii="仿宋_GB2312" w:eastAsia="仿宋_GB2312"/>
          <w:bCs/>
          <w:sz w:val="32"/>
          <w:szCs w:val="32"/>
          <w:highlight w:val="none"/>
        </w:rPr>
        <w:t>施工结束后应及时对施工临时用地进行生态复垦和植被恢复。</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三、《报告表》批准后，如建设项目的性质、规模、地点、采用的生产工艺或者防治污染、防止生态破坏的措施发生重大变动的，应当依法重新报批项目环评。《报告表》自批准之日起满5年，项目方开工建设的，其环评应当依法报生态环境部门重新审核。</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24" w:firstLineChars="195"/>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四、项目应加强环境管理，推进落实各项生态环境保护措施。严格执行环境保护“三同时”制度，加强施工期环境管理。竣工后应按规定程序实施竣工环境保护验收。</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60" w:lineRule="exact"/>
        <w:ind w:left="0" w:right="0" w:firstLine="640" w:firstLineChars="200"/>
        <w:jc w:val="both"/>
        <w:textAlignment w:val="auto"/>
        <w:rPr>
          <w:rFonts w:hint="eastAsia" w:ascii="仿宋_GB2312" w:hAnsi="Times New Roman" w:eastAsia="仿宋_GB2312" w:cs="宋体"/>
          <w:kern w:val="0"/>
          <w:sz w:val="32"/>
          <w:szCs w:val="32"/>
          <w:highlight w:val="none"/>
          <w:lang w:val="en-US" w:eastAsia="zh-CN" w:bidi="ar"/>
        </w:rPr>
      </w:pPr>
      <w:r>
        <w:rPr>
          <w:rFonts w:hint="eastAsia" w:ascii="仿宋_GB2312" w:hAnsi="Times New Roman" w:eastAsia="仿宋_GB2312" w:cs="宋体"/>
          <w:kern w:val="0"/>
          <w:sz w:val="32"/>
          <w:szCs w:val="32"/>
          <w:highlight w:val="none"/>
          <w:lang w:val="en-US" w:eastAsia="zh-CN" w:bidi="ar"/>
        </w:rPr>
        <w:t>五、我局委托福州市生态环境保护综合执法支队开展该项目环保“三同时”监督检查，竣工后，由福州市闽侯生态环境局负责该项目日常环保监督管理工作。</w:t>
      </w:r>
    </w:p>
    <w:p>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yellow"/>
          <w:lang w:eastAsia="zh-CN"/>
        </w:rPr>
      </w:pPr>
    </w:p>
    <w:p>
      <w:pPr>
        <w:keepNext w:val="0"/>
        <w:keepLines w:val="0"/>
        <w:pageBreakBefore w:val="0"/>
        <w:kinsoku/>
        <w:wordWrap/>
        <w:overflowPunct/>
        <w:topLinePunct w:val="0"/>
        <w:autoSpaceDE/>
        <w:autoSpaceDN/>
        <w:bidi w:val="0"/>
        <w:spacing w:line="500" w:lineRule="exact"/>
        <w:textAlignment w:val="auto"/>
        <w:rPr>
          <w:rFonts w:hint="eastAsia"/>
          <w:highlight w:val="none"/>
          <w:lang w:eastAsia="zh-CN"/>
        </w:rPr>
      </w:pPr>
    </w:p>
    <w:p>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none"/>
          <w:lang w:val="en-US"/>
        </w:rPr>
      </w:pPr>
      <w:r>
        <w:rPr>
          <w:rFonts w:hint="eastAsia" w:ascii="仿宋_GB2312" w:eastAsia="仿宋_GB2312" w:cs="仿宋_GB2312"/>
          <w:highlight w:val="none"/>
          <w:lang w:eastAsia="zh-CN"/>
        </w:rPr>
        <w:t>福州市生态环境局</w:t>
      </w:r>
    </w:p>
    <w:p>
      <w:pPr>
        <w:pStyle w:val="5"/>
        <w:keepNext w:val="0"/>
        <w:keepLines w:val="0"/>
        <w:pageBreakBefore w:val="0"/>
        <w:widowControl/>
        <w:kinsoku/>
        <w:wordWrap/>
        <w:overflowPunct/>
        <w:topLinePunct w:val="0"/>
        <w:autoSpaceDE/>
        <w:autoSpaceDN/>
        <w:bidi w:val="0"/>
        <w:snapToGrid w:val="0"/>
        <w:spacing w:line="500" w:lineRule="exact"/>
        <w:ind w:right="1170" w:rightChars="557"/>
        <w:jc w:val="right"/>
        <w:textAlignment w:val="auto"/>
        <w:rPr>
          <w:rFonts w:hint="eastAsia" w:ascii="仿宋_GB2312" w:eastAsia="仿宋_GB2312" w:cs="仿宋_GB2312"/>
          <w:highlight w:val="none"/>
          <w:lang w:eastAsia="zh-CN"/>
        </w:rPr>
      </w:pPr>
      <w:r>
        <w:rPr>
          <w:rFonts w:hint="eastAsia" w:ascii="仿宋_GB2312" w:eastAsia="仿宋_GB2312" w:cs="仿宋_GB2312"/>
          <w:highlight w:val="none"/>
          <w:lang w:val="en-US"/>
        </w:rPr>
        <w:t>20</w:t>
      </w:r>
      <w:r>
        <w:rPr>
          <w:rFonts w:hint="eastAsia" w:ascii="仿宋_GB2312" w:eastAsia="仿宋_GB2312" w:cs="仿宋_GB2312"/>
          <w:highlight w:val="none"/>
          <w:lang w:val="en-US" w:eastAsia="zh-CN"/>
        </w:rPr>
        <w:t>25</w:t>
      </w:r>
      <w:r>
        <w:rPr>
          <w:rFonts w:hint="eastAsia" w:ascii="仿宋_GB2312" w:eastAsia="仿宋_GB2312" w:cs="仿宋_GB2312"/>
          <w:highlight w:val="none"/>
          <w:lang w:eastAsia="zh-CN"/>
        </w:rPr>
        <w:t>年</w:t>
      </w:r>
      <w:r>
        <w:rPr>
          <w:rFonts w:hint="eastAsia" w:ascii="仿宋_GB2312" w:eastAsia="仿宋_GB2312" w:cs="仿宋_GB2312"/>
          <w:highlight w:val="none"/>
          <w:lang w:val="en-US" w:eastAsia="zh-CN"/>
        </w:rPr>
        <w:t>12</w:t>
      </w:r>
      <w:r>
        <w:rPr>
          <w:rFonts w:hint="eastAsia" w:ascii="仿宋_GB2312" w:eastAsia="仿宋_GB2312" w:cs="仿宋_GB2312"/>
          <w:highlight w:val="none"/>
          <w:lang w:eastAsia="zh-CN"/>
        </w:rPr>
        <w:t>月</w:t>
      </w:r>
      <w:r>
        <w:rPr>
          <w:rFonts w:hint="eastAsia" w:ascii="仿宋_GB2312" w:eastAsia="仿宋_GB2312" w:cs="仿宋_GB2312"/>
          <w:highlight w:val="none"/>
          <w:lang w:val="en-US" w:eastAsia="zh-CN"/>
        </w:rPr>
        <w:t>31</w:t>
      </w:r>
      <w:r>
        <w:rPr>
          <w:rFonts w:hint="eastAsia" w:ascii="仿宋_GB2312" w:eastAsia="仿宋_GB2312" w:cs="仿宋_GB2312"/>
          <w:highlight w:val="none"/>
          <w:lang w:eastAsia="zh-CN"/>
        </w:rPr>
        <w:t>日</w:t>
      </w:r>
    </w:p>
    <w:p>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cs="仿宋_GB231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eastAsia="仿宋_GB2312" w:cs="仿宋_GB2312"/>
          <w:highlight w:val="none"/>
          <w:lang w:eastAsia="zh-CN"/>
        </w:rPr>
      </w:pPr>
    </w:p>
    <w:p>
      <w:pPr>
        <w:rPr>
          <w:rFonts w:hint="eastAsia" w:ascii="仿宋_GB2312" w:eastAsia="仿宋_GB2312" w:cs="仿宋_GB2312"/>
          <w:highlight w:val="none"/>
          <w:lang w:eastAsia="zh-CN"/>
        </w:rPr>
      </w:pPr>
    </w:p>
    <w:p>
      <w:pPr>
        <w:rPr>
          <w:rFonts w:hint="eastAsia" w:ascii="仿宋_GB2312" w:eastAsia="仿宋_GB2312" w:cs="仿宋_GB2312"/>
          <w:highlight w:val="none"/>
          <w:lang w:eastAsia="zh-CN"/>
        </w:rPr>
      </w:pPr>
      <w:bookmarkStart w:id="0" w:name="_GoBack"/>
      <w:bookmarkEnd w:id="0"/>
    </w:p>
    <w:p>
      <w:pPr>
        <w:rPr>
          <w:rFonts w:hint="default" w:ascii="仿宋_GB2312" w:eastAsia="仿宋_GB2312" w:cs="仿宋_GB2312"/>
          <w:highlight w:val="none"/>
          <w:lang w:val="en-US" w:eastAsia="zh-CN"/>
        </w:rPr>
      </w:pPr>
    </w:p>
    <w:p>
      <w:pPr>
        <w:rPr>
          <w:rFonts w:hint="eastAsia" w:ascii="仿宋_GB2312" w:eastAsia="仿宋_GB2312" w:cs="仿宋_GB2312"/>
          <w:highlight w:val="none"/>
          <w:lang w:eastAsia="zh-CN"/>
        </w:rPr>
      </w:pPr>
    </w:p>
    <w:p>
      <w:pPr>
        <w:rPr>
          <w:rFonts w:hint="eastAsia" w:ascii="仿宋_GB2312" w:eastAsia="仿宋_GB2312" w:cs="仿宋_GB2312"/>
          <w:highlight w:val="none"/>
          <w:lang w:eastAsia="zh-CN"/>
        </w:rPr>
      </w:pPr>
    </w:p>
    <w:p>
      <w:pPr>
        <w:rPr>
          <w:rFonts w:hint="eastAsia" w:ascii="仿宋_GB2312" w:eastAsia="仿宋_GB2312" w:cs="仿宋_GB2312"/>
          <w:highlight w:val="none"/>
          <w:lang w:eastAsia="zh-CN"/>
        </w:rPr>
      </w:pPr>
    </w:p>
    <w:p>
      <w:pPr>
        <w:rPr>
          <w:rFonts w:hint="eastAsia"/>
          <w:highlight w:val="none"/>
          <w:lang w:val="en-US" w:eastAsia="zh-CN"/>
        </w:rPr>
      </w:pPr>
    </w:p>
    <w:p>
      <w:pPr>
        <w:keepNext w:val="0"/>
        <w:keepLines w:val="0"/>
        <w:widowControl w:val="0"/>
        <w:suppressLineNumbers w:val="0"/>
        <w:snapToGrid w:val="0"/>
        <w:spacing w:before="0" w:beforeAutospacing="0" w:after="0" w:afterAutospacing="0"/>
        <w:ind w:left="0" w:right="0"/>
        <w:jc w:val="both"/>
        <w:rPr>
          <w:rFonts w:hint="eastAsia" w:ascii="仿宋_GB2312" w:eastAsia="仿宋_GB2312" w:cs="仿宋_GB2312"/>
          <w:highlight w:val="none"/>
          <w:lang w:val="en-US"/>
        </w:rPr>
      </w:pPr>
    </w:p>
    <w:tbl>
      <w:tblPr>
        <w:tblStyle w:val="10"/>
        <w:tblW w:w="87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55"/>
        <w:gridCol w:w="388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1155" w:type="dxa"/>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tabs>
                <w:tab w:val="left" w:pos="3885"/>
              </w:tabs>
              <w:spacing w:before="0" w:beforeAutospacing="0" w:after="0" w:afterAutospacing="0"/>
              <w:ind w:left="0" w:right="0" w:firstLine="179" w:firstLineChars="64"/>
              <w:jc w:val="both"/>
              <w:rPr>
                <w:rFonts w:hint="eastAsia" w:ascii="仿宋_GB2312" w:eastAsia="仿宋_GB2312" w:cs="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抄送：</w:t>
            </w:r>
          </w:p>
        </w:tc>
        <w:tc>
          <w:tcPr>
            <w:tcW w:w="7560"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tabs>
                <w:tab w:val="left" w:pos="3885"/>
              </w:tabs>
              <w:spacing w:before="0" w:beforeAutospacing="0" w:after="0" w:afterAutospacing="0"/>
              <w:ind w:left="0" w:right="0"/>
              <w:jc w:val="both"/>
              <w:rPr>
                <w:rFonts w:hint="eastAsia" w:ascii="仿宋_GB2312" w:eastAsia="仿宋_GB2312" w:cs="仿宋_GB2312"/>
                <w:sz w:val="28"/>
                <w:szCs w:val="28"/>
                <w:highlight w:val="none"/>
                <w:lang w:val="en-US" w:eastAsia="zh-CN"/>
              </w:rPr>
            </w:pPr>
            <w:r>
              <w:rPr>
                <w:rFonts w:hint="eastAsia" w:ascii="仿宋_GB2312" w:hAnsi="Times New Roman" w:eastAsia="仿宋_GB2312" w:cs="仿宋_GB2312"/>
                <w:kern w:val="2"/>
                <w:sz w:val="28"/>
                <w:szCs w:val="20"/>
                <w:highlight w:val="none"/>
                <w:lang w:val="en-US" w:eastAsia="zh-CN" w:bidi="ar"/>
              </w:rPr>
              <w:t>福州市生态环境保护综合执法支队，福州市闽侯生态环境局，福建环诺科技有限公司。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040"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tabs>
                <w:tab w:val="left" w:pos="3885"/>
              </w:tabs>
              <w:spacing w:before="0" w:beforeAutospacing="0" w:after="0" w:afterAutospacing="0"/>
              <w:ind w:left="0" w:right="0" w:firstLine="179" w:firstLineChars="64"/>
              <w:jc w:val="both"/>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福州市生态环境局</w:t>
            </w:r>
          </w:p>
        </w:tc>
        <w:tc>
          <w:tcPr>
            <w:tcW w:w="3675" w:type="dxa"/>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tabs>
                <w:tab w:val="left" w:pos="3882"/>
                <w:tab w:val="left" w:pos="3987"/>
              </w:tabs>
              <w:spacing w:before="0" w:beforeAutospacing="0" w:after="0" w:afterAutospacing="0"/>
              <w:ind w:left="0" w:right="311" w:rightChars="148"/>
              <w:jc w:val="right"/>
              <w:rPr>
                <w:rFonts w:eastAsia="仿宋_GB2312"/>
                <w:sz w:val="28"/>
                <w:szCs w:val="28"/>
                <w:highlight w:val="none"/>
                <w:lang w:val="en-US"/>
              </w:rPr>
            </w:pPr>
            <w:r>
              <w:rPr>
                <w:rFonts w:hint="eastAsia" w:ascii="仿宋_GB2312" w:hAnsi="Times New Roman" w:eastAsia="仿宋_GB2312" w:cs="仿宋_GB2312"/>
                <w:kern w:val="2"/>
                <w:sz w:val="28"/>
                <w:szCs w:val="28"/>
                <w:highlight w:val="none"/>
                <w:lang w:val="en-US" w:eastAsia="zh-CN" w:bidi="ar"/>
              </w:rPr>
              <w:t>2025年12月31日印发</w:t>
            </w:r>
          </w:p>
        </w:tc>
      </w:tr>
    </w:tbl>
    <w:p>
      <w:pPr>
        <w:rPr>
          <w:highlight w:val="none"/>
        </w:rPr>
      </w:pPr>
    </w:p>
    <w:sectPr>
      <w:footerReference r:id="rId3" w:type="default"/>
      <w:pgSz w:w="11906" w:h="16838"/>
      <w:pgMar w:top="1701" w:right="1587" w:bottom="1417"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wMmU4YmM1MTQ3ZDUyOWQxMDA5OGU4MmQ5YTNiMDAifQ=="/>
  </w:docVars>
  <w:rsids>
    <w:rsidRoot w:val="2A7F762B"/>
    <w:rsid w:val="00732078"/>
    <w:rsid w:val="014F132C"/>
    <w:rsid w:val="01DD6FC1"/>
    <w:rsid w:val="0219705A"/>
    <w:rsid w:val="026C0BED"/>
    <w:rsid w:val="02951328"/>
    <w:rsid w:val="03CC5678"/>
    <w:rsid w:val="05467009"/>
    <w:rsid w:val="06CF3FDF"/>
    <w:rsid w:val="076B63F8"/>
    <w:rsid w:val="07B76A03"/>
    <w:rsid w:val="086450F1"/>
    <w:rsid w:val="086949F5"/>
    <w:rsid w:val="08877123"/>
    <w:rsid w:val="097912D2"/>
    <w:rsid w:val="0A0259D4"/>
    <w:rsid w:val="0A537496"/>
    <w:rsid w:val="0A7B2C42"/>
    <w:rsid w:val="0EBC0E2F"/>
    <w:rsid w:val="100F211B"/>
    <w:rsid w:val="11B15CE9"/>
    <w:rsid w:val="123E696C"/>
    <w:rsid w:val="12D0457D"/>
    <w:rsid w:val="1339568F"/>
    <w:rsid w:val="13941148"/>
    <w:rsid w:val="13CC186E"/>
    <w:rsid w:val="155C0219"/>
    <w:rsid w:val="15B63938"/>
    <w:rsid w:val="15E21487"/>
    <w:rsid w:val="16C049E6"/>
    <w:rsid w:val="17376763"/>
    <w:rsid w:val="173A433D"/>
    <w:rsid w:val="17C02571"/>
    <w:rsid w:val="185C0C0F"/>
    <w:rsid w:val="192664F4"/>
    <w:rsid w:val="196B1FA1"/>
    <w:rsid w:val="1A07082D"/>
    <w:rsid w:val="1A2D6D57"/>
    <w:rsid w:val="1B9F3755"/>
    <w:rsid w:val="1DB55799"/>
    <w:rsid w:val="1F1776F9"/>
    <w:rsid w:val="20835F2C"/>
    <w:rsid w:val="20E042B6"/>
    <w:rsid w:val="210711EE"/>
    <w:rsid w:val="213F3844"/>
    <w:rsid w:val="219278A5"/>
    <w:rsid w:val="231015C1"/>
    <w:rsid w:val="23D1267C"/>
    <w:rsid w:val="24C42674"/>
    <w:rsid w:val="24F500FA"/>
    <w:rsid w:val="25B53634"/>
    <w:rsid w:val="264F7B2D"/>
    <w:rsid w:val="269913EF"/>
    <w:rsid w:val="26DD1912"/>
    <w:rsid w:val="26F17F87"/>
    <w:rsid w:val="26FA4A88"/>
    <w:rsid w:val="28A86FC8"/>
    <w:rsid w:val="2A7F762B"/>
    <w:rsid w:val="2CAD0908"/>
    <w:rsid w:val="2D2F4B41"/>
    <w:rsid w:val="2E214D74"/>
    <w:rsid w:val="2E831059"/>
    <w:rsid w:val="2F652F3C"/>
    <w:rsid w:val="31DF7D29"/>
    <w:rsid w:val="32432891"/>
    <w:rsid w:val="3243611C"/>
    <w:rsid w:val="32781451"/>
    <w:rsid w:val="33B4282D"/>
    <w:rsid w:val="34414959"/>
    <w:rsid w:val="344B15E7"/>
    <w:rsid w:val="34565CE1"/>
    <w:rsid w:val="34B92A27"/>
    <w:rsid w:val="35D66A76"/>
    <w:rsid w:val="36CD523C"/>
    <w:rsid w:val="379F27DC"/>
    <w:rsid w:val="38FC70C7"/>
    <w:rsid w:val="396A64FB"/>
    <w:rsid w:val="3B7B6102"/>
    <w:rsid w:val="3BB54CCD"/>
    <w:rsid w:val="3C461732"/>
    <w:rsid w:val="3DB945F5"/>
    <w:rsid w:val="3E7C14F3"/>
    <w:rsid w:val="3FB61A84"/>
    <w:rsid w:val="402C102B"/>
    <w:rsid w:val="407707ED"/>
    <w:rsid w:val="40AF497C"/>
    <w:rsid w:val="438B4B5B"/>
    <w:rsid w:val="43CA10AF"/>
    <w:rsid w:val="45314B84"/>
    <w:rsid w:val="46377937"/>
    <w:rsid w:val="47C411B6"/>
    <w:rsid w:val="49203E9F"/>
    <w:rsid w:val="49641AB4"/>
    <w:rsid w:val="4A137FFD"/>
    <w:rsid w:val="4A69668E"/>
    <w:rsid w:val="4A810DC1"/>
    <w:rsid w:val="4B456184"/>
    <w:rsid w:val="4B997BD4"/>
    <w:rsid w:val="4BC03622"/>
    <w:rsid w:val="4CD339FE"/>
    <w:rsid w:val="4DB67CDD"/>
    <w:rsid w:val="4E576091"/>
    <w:rsid w:val="5328504E"/>
    <w:rsid w:val="538636A9"/>
    <w:rsid w:val="53C47089"/>
    <w:rsid w:val="545C3B2A"/>
    <w:rsid w:val="55CA7A2C"/>
    <w:rsid w:val="562418E0"/>
    <w:rsid w:val="56B238A8"/>
    <w:rsid w:val="56D54AE3"/>
    <w:rsid w:val="56D6723A"/>
    <w:rsid w:val="56DD30D8"/>
    <w:rsid w:val="56FA33C7"/>
    <w:rsid w:val="570F789F"/>
    <w:rsid w:val="5773682D"/>
    <w:rsid w:val="59790483"/>
    <w:rsid w:val="5AB30E80"/>
    <w:rsid w:val="5D8466D6"/>
    <w:rsid w:val="5E49718B"/>
    <w:rsid w:val="5FEC4503"/>
    <w:rsid w:val="60EE0200"/>
    <w:rsid w:val="610D1793"/>
    <w:rsid w:val="61464082"/>
    <w:rsid w:val="61AA6D4E"/>
    <w:rsid w:val="61AC3705"/>
    <w:rsid w:val="61BD2347"/>
    <w:rsid w:val="635B63B9"/>
    <w:rsid w:val="674F436D"/>
    <w:rsid w:val="676676DF"/>
    <w:rsid w:val="68A81837"/>
    <w:rsid w:val="68C27247"/>
    <w:rsid w:val="69AA484A"/>
    <w:rsid w:val="6A1E3F8D"/>
    <w:rsid w:val="6A20215B"/>
    <w:rsid w:val="6A5A49A9"/>
    <w:rsid w:val="6C2A2F12"/>
    <w:rsid w:val="6C524909"/>
    <w:rsid w:val="6C6B04B8"/>
    <w:rsid w:val="6CA5599E"/>
    <w:rsid w:val="6D0A06B5"/>
    <w:rsid w:val="6D8945FB"/>
    <w:rsid w:val="6E6E2E44"/>
    <w:rsid w:val="6EAD420C"/>
    <w:rsid w:val="6F460731"/>
    <w:rsid w:val="718D4C87"/>
    <w:rsid w:val="719B3ADE"/>
    <w:rsid w:val="71BD5B16"/>
    <w:rsid w:val="731146F1"/>
    <w:rsid w:val="73F3130E"/>
    <w:rsid w:val="749C56FE"/>
    <w:rsid w:val="75053496"/>
    <w:rsid w:val="75F77103"/>
    <w:rsid w:val="761605AE"/>
    <w:rsid w:val="76CA152F"/>
    <w:rsid w:val="777B68B9"/>
    <w:rsid w:val="783B4C00"/>
    <w:rsid w:val="7AB16E00"/>
    <w:rsid w:val="7BAF2565"/>
    <w:rsid w:val="7C031292"/>
    <w:rsid w:val="7C145F64"/>
    <w:rsid w:val="7CC80452"/>
    <w:rsid w:val="7CDA4005"/>
    <w:rsid w:val="7FA07A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楷体_GB2312" w:cs="Times New Roman"/>
      <w:kern w:val="2"/>
      <w:sz w:val="32"/>
      <w:szCs w:val="20"/>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Body Text First Indent 2"/>
    <w:basedOn w:val="4"/>
    <w:qFormat/>
    <w:uiPriority w:val="0"/>
    <w:pPr>
      <w:spacing w:after="0" w:line="420" w:lineRule="exact"/>
      <w:ind w:left="0" w:leftChars="0" w:firstLine="420"/>
    </w:pPr>
    <w:rPr>
      <w:rFonts w:ascii="仿宋_GB2312" w:eastAsia="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5文章(治) Char"/>
    <w:basedOn w:val="12"/>
    <w:qFormat/>
    <w:uiPriority w:val="0"/>
    <w:rPr>
      <w:rFonts w:hint="eastAsia" w:ascii="楷体_GB2312" w:eastAsia="楷体_GB2312" w:cs="楷体_GB2312"/>
      <w:kern w:val="2"/>
      <w:sz w:val="2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1801</Words>
  <Characters>1899</Characters>
  <Lines>0</Lines>
  <Paragraphs>0</Paragraphs>
  <TotalTime>21</TotalTime>
  <ScaleCrop>false</ScaleCrop>
  <LinksUpToDate>false</LinksUpToDate>
  <CharactersWithSpaces>1903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2016-03-09T02:21:00Z</dcterms:created>
  <dc:creator>Yuri</dc:creator>
  <cp:lastModifiedBy>Administrator</cp:lastModifiedBy>
  <cp:lastPrinted>2025-11-14T03:00:00Z</cp:lastPrinted>
  <dcterms:modified xsi:type="dcterms:W3CDTF">2026-01-05T02:01:56Z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07A162A2473042D587B95B9EDB6B78DC_12</vt:lpwstr>
  </property>
  <property fmtid="{D5CDD505-2E9C-101B-9397-08002B2CF9AE}" pid="4" name="KSOTemplateDocerSaveRecord">
    <vt:lpwstr>eyJoZGlkIjoiMDkxNDM5NTI3YTI2MzU0NTA3MzliODM2N2FlYTc2NjYiLCJ1c2VySWQiOiI0MjM3NjMwNzUifQ==</vt:lpwstr>
  </property>
</Properties>
</file>