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A6CD8">
      <w:pPr>
        <w:keepNext w:val="0"/>
        <w:keepLines w:val="0"/>
        <w:pageBreakBefore w:val="0"/>
        <w:widowControl w:val="0"/>
        <w:kinsoku/>
        <w:wordWrap/>
        <w:overflowPunct/>
        <w:topLinePunct w:val="0"/>
        <w:autoSpaceDE/>
        <w:autoSpaceDN/>
        <w:bidi w:val="0"/>
        <w:textAlignment w:val="auto"/>
        <w:rPr>
          <w:rFonts w:hint="eastAsia" w:eastAsiaTheme="minorEastAsia"/>
          <w:color w:val="auto"/>
          <w:lang w:eastAsia="zh-CN"/>
        </w:rPr>
      </w:pPr>
    </w:p>
    <w:p w14:paraId="53A5BD8A">
      <w:pPr>
        <w:keepNext w:val="0"/>
        <w:keepLines w:val="0"/>
        <w:pageBreakBefore w:val="0"/>
        <w:widowControl w:val="0"/>
        <w:kinsoku/>
        <w:wordWrap/>
        <w:overflowPunct/>
        <w:topLinePunct w:val="0"/>
        <w:autoSpaceDE/>
        <w:autoSpaceDN/>
        <w:bidi w:val="0"/>
        <w:spacing w:before="1400"/>
        <w:ind w:right="250" w:rightChars="119"/>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榕环评</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0</w:t>
      </w:r>
      <w:r>
        <w:rPr>
          <w:rFonts w:hint="eastAsia" w:ascii="仿宋_GB2312" w:eastAsia="仿宋_GB2312"/>
          <w:color w:val="auto"/>
          <w:sz w:val="32"/>
          <w:szCs w:val="32"/>
          <w:highlight w:val="none"/>
          <w:lang w:val="en-US" w:eastAsia="zh-CN"/>
        </w:rPr>
        <w:t>25〕71</w:t>
      </w:r>
      <w:r>
        <w:rPr>
          <w:rFonts w:hint="eastAsia" w:ascii="仿宋_GB2312" w:eastAsia="仿宋_GB2312"/>
          <w:color w:val="auto"/>
          <w:sz w:val="32"/>
          <w:szCs w:val="32"/>
          <w:highlight w:val="none"/>
        </w:rPr>
        <w:t>号</w:t>
      </w:r>
    </w:p>
    <w:p w14:paraId="504649D9">
      <w:pPr>
        <w:keepNext w:val="0"/>
        <w:keepLines w:val="0"/>
        <w:pageBreakBefore w:val="0"/>
        <w:widowControl w:val="0"/>
        <w:kinsoku/>
        <w:wordWrap/>
        <w:overflowPunct/>
        <w:topLinePunct w:val="0"/>
        <w:autoSpaceDE/>
        <w:autoSpaceDN/>
        <w:bidi w:val="0"/>
        <w:adjustRightInd/>
        <w:snapToGrid/>
        <w:spacing w:before="720"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福州市</w:t>
      </w:r>
      <w:r>
        <w:rPr>
          <w:rFonts w:hint="eastAsia" w:ascii="方正小标宋简体" w:hAnsi="方正小标宋简体" w:eastAsia="方正小标宋简体" w:cs="方正小标宋简体"/>
          <w:color w:val="auto"/>
          <w:sz w:val="44"/>
          <w:szCs w:val="44"/>
          <w:highlight w:val="none"/>
          <w:lang w:val="en-US" w:eastAsia="zh-CN"/>
        </w:rPr>
        <w:t>生</w:t>
      </w: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态</w:t>
      </w:r>
      <w:r>
        <w:rPr>
          <w:rFonts w:hint="eastAsia" w:ascii="方正小标宋简体" w:hAnsi="方正小标宋简体" w:eastAsia="方正小标宋简体" w:cs="方正小标宋简体"/>
          <w:color w:val="auto"/>
          <w:sz w:val="44"/>
          <w:szCs w:val="44"/>
          <w:highlight w:val="none"/>
        </w:rPr>
        <w:t>环境局</w:t>
      </w:r>
    </w:p>
    <w:p w14:paraId="6F704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关于福建省东南电化股份有限公司30万吨/年离子膜烧碱废盐综合利用技改项目</w:t>
      </w:r>
    </w:p>
    <w:p w14:paraId="6E4A95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环境影响报告书的审批意见</w:t>
      </w:r>
    </w:p>
    <w:p w14:paraId="1B5707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36"/>
          <w:lang w:eastAsia="zh-CN"/>
        </w:rPr>
      </w:pPr>
    </w:p>
    <w:p w14:paraId="26F4185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福建省东南电化股份有限公司：</w:t>
      </w:r>
    </w:p>
    <w:p w14:paraId="5F473D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你司报送的《福建省东南电化股份有限公司30万吨/年离子膜烧碱废盐综合利用技改项目环境影响报告书》（以下简称《报告书》）及申请审批的报告收悉。根据《环境影响评价法》第22条等规定，经组织技术审查，并征求</w:t>
      </w:r>
      <w:r>
        <w:rPr>
          <w:rFonts w:hint="eastAsia" w:ascii="仿宋_GB2312" w:hAnsi="仿宋_GB2312" w:eastAsia="仿宋_GB2312" w:cs="仿宋_GB2312"/>
          <w:color w:val="auto"/>
          <w:sz w:val="32"/>
          <w:szCs w:val="32"/>
          <w:highlight w:val="none"/>
          <w:lang w:eastAsia="zh-CN"/>
        </w:rPr>
        <w:t>福州市福清生态环境局</w:t>
      </w:r>
      <w:r>
        <w:rPr>
          <w:rFonts w:hint="eastAsia" w:ascii="仿宋_GB2312" w:hAnsi="仿宋_GB2312" w:eastAsia="仿宋_GB2312" w:cs="仿宋_GB2312"/>
          <w:color w:val="auto"/>
          <w:sz w:val="32"/>
          <w:szCs w:val="32"/>
          <w:lang w:eastAsia="zh-CN"/>
        </w:rPr>
        <w:t>意见，现提出审批意见如下:</w:t>
      </w:r>
    </w:p>
    <w:p w14:paraId="65421E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一、项目位于福州市江阴港城经济区国盛大道3号</w:t>
      </w:r>
      <w:r>
        <w:rPr>
          <w:rFonts w:hint="eastAsia" w:ascii="仿宋_GB2312" w:hAnsi="仿宋_GB2312" w:eastAsia="仿宋_GB2312" w:cs="仿宋_GB2312"/>
          <w:color w:val="auto"/>
          <w:sz w:val="32"/>
          <w:szCs w:val="32"/>
          <w:lang w:eastAsia="zh-CN"/>
        </w:rPr>
        <w:t>福建省东南电化股份有限公司</w:t>
      </w:r>
      <w:r>
        <w:rPr>
          <w:rFonts w:hint="eastAsia" w:ascii="仿宋_GB2312" w:hAnsi="仿宋_GB2312" w:eastAsia="仿宋_GB2312" w:cs="仿宋_GB2312"/>
          <w:color w:val="auto"/>
          <w:sz w:val="32"/>
          <w:szCs w:val="32"/>
          <w:lang w:val="en-US" w:eastAsia="zh-CN"/>
        </w:rPr>
        <w:t>现有厂区内，建设厂房及一套15万吨/年离子膜烧碱装置(不新增副产氯气处理能力)，对盐水处理系统进行提升改造，更新部分配套设施设备，购置废盐（不含危险废物）为原料使资源合理化利用，技改完成后逐步达到40%废盐使用比例，填平补齐因使用废盐为原料导致现有30万吨/年离子膜烧碱装置下降的产能(本次不新增烧碱产能)。</w:t>
      </w:r>
    </w:p>
    <w:p w14:paraId="309191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根据《报告书》评价结论、福州市环境影响评价技术中心出具的技术评估报告（</w:t>
      </w:r>
      <w:r>
        <w:rPr>
          <w:rFonts w:hint="eastAsia" w:ascii="仿宋_GB2312" w:hAnsi="仿宋_GB2312" w:eastAsia="仿宋_GB2312" w:cs="仿宋_GB2312"/>
          <w:color w:val="auto"/>
          <w:sz w:val="32"/>
          <w:szCs w:val="32"/>
          <w:highlight w:val="none"/>
          <w:lang w:eastAsia="zh-CN"/>
        </w:rPr>
        <w:t>编号2-202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037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该项目符合国家产业政策，符合福建省、福州市生态环境分区管控要求，符合《福州市化工产业发展专项规划(2025-2030年)》《福州江阴港城经济区化工新材料专区总体发展规划(2025-2030年)》《福州江阴港城经济区产业发展规划》</w:t>
      </w:r>
      <w:r>
        <w:rPr>
          <w:rFonts w:hint="eastAsia" w:ascii="仿宋_GB2312" w:eastAsia="仿宋_GB2312"/>
          <w:color w:val="auto"/>
          <w:sz w:val="32"/>
          <w:szCs w:val="32"/>
          <w:highlight w:val="none"/>
          <w:lang w:eastAsia="zh-CN"/>
        </w:rPr>
        <w:t>及其规划环评要求</w:t>
      </w:r>
      <w:r>
        <w:rPr>
          <w:rFonts w:hint="eastAsia" w:ascii="仿宋_GB2312" w:hAnsi="仿宋_GB2312" w:eastAsia="仿宋_GB2312" w:cs="仿宋_GB2312"/>
          <w:color w:val="auto"/>
          <w:sz w:val="32"/>
          <w:szCs w:val="32"/>
          <w:lang w:eastAsia="zh-CN"/>
        </w:rPr>
        <w:t>。在全面落实《报告书》提出的污染防治和风险防控措施的前提下，从环境保护角度分析项目建设是可行的。我局</w:t>
      </w:r>
      <w:r>
        <w:rPr>
          <w:rFonts w:hint="eastAsia" w:ascii="仿宋_GB2312" w:eastAsia="仿宋_GB2312"/>
          <w:color w:val="auto"/>
          <w:sz w:val="32"/>
          <w:szCs w:val="32"/>
          <w:highlight w:val="none"/>
        </w:rPr>
        <w:t>同意</w:t>
      </w: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按照《报告书》所列的建设项目地点、性质、规模以及环境保护对策措施进行建设。</w:t>
      </w:r>
    </w:p>
    <w:p w14:paraId="084B30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kern w:val="1"/>
          <w:sz w:val="32"/>
          <w:szCs w:val="32"/>
          <w:lang w:eastAsia="zh-CN"/>
        </w:rPr>
        <w:t>该项目的建设应严格执行环保“三同时”制度，进一步优化工程设计和污染防治措施，加强运行管理，持续提升清洁生产水平，强化各装置节能降耗措施。严格落实《报告书》提出的各项污染防治、生态保护和风险防控措施，在工程设计、施工和生产过程中实施“以新带老”，完成现有工程环境问题整改，并重点做好以下工作:</w:t>
      </w:r>
    </w:p>
    <w:p w14:paraId="18F946DA">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1.加强施工期环境管理。</w:t>
      </w:r>
      <w:r>
        <w:rPr>
          <w:rFonts w:hint="eastAsia" w:ascii="仿宋_GB2312" w:eastAsia="仿宋_GB2312"/>
          <w:sz w:val="32"/>
          <w:szCs w:val="32"/>
          <w:highlight w:val="none"/>
          <w:lang w:eastAsia="zh-CN"/>
        </w:rPr>
        <w:t>施工单位在旧设备拆除及新设备安装过程中应</w:t>
      </w:r>
      <w:r>
        <w:rPr>
          <w:rFonts w:hint="eastAsia" w:ascii="仿宋_GB2312" w:hAnsi="Times New Roman" w:eastAsia="仿宋_GB2312" w:cs="Times New Roman"/>
          <w:sz w:val="32"/>
          <w:szCs w:val="32"/>
          <w:highlight w:val="none"/>
          <w:lang w:eastAsia="zh-CN"/>
        </w:rPr>
        <w:t>严格按照有关规定做好环境管理工作</w:t>
      </w:r>
      <w:r>
        <w:rPr>
          <w:rFonts w:hint="eastAsia" w:ascii="仿宋_GB2312" w:eastAsia="仿宋_GB2312"/>
          <w:sz w:val="32"/>
          <w:szCs w:val="32"/>
          <w:highlight w:val="none"/>
          <w:lang w:eastAsia="zh-CN"/>
        </w:rPr>
        <w:t>，</w:t>
      </w:r>
      <w:r>
        <w:rPr>
          <w:rFonts w:hint="eastAsia" w:ascii="仿宋_GB2312" w:hAnsi="仿宋_GB2312" w:eastAsia="仿宋_GB2312" w:cs="仿宋_GB2312"/>
          <w:color w:val="auto"/>
          <w:sz w:val="32"/>
          <w:szCs w:val="32"/>
          <w:lang w:val="en-US" w:eastAsia="zh-CN"/>
        </w:rPr>
        <w:t>施工场地四周须建立围挡，定期进行洒水和清扫；合理安排施工作业时间，选用低噪声施工机械设备；施工期产生的废水和固体废弃物要集中收集统一处置。</w:t>
      </w:r>
    </w:p>
    <w:p w14:paraId="248692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2.水污染防治措施。</w:t>
      </w:r>
      <w:r>
        <w:rPr>
          <w:rFonts w:hint="eastAsia" w:ascii="仿宋_GB2312" w:hAnsi="仿宋_GB2312" w:eastAsia="仿宋_GB2312" w:cs="仿宋_GB2312"/>
          <w:color w:val="auto"/>
          <w:sz w:val="32"/>
          <w:szCs w:val="32"/>
          <w:lang w:eastAsia="zh-CN"/>
        </w:rPr>
        <w:t>高盐废水经中和处理后由明管排入园区污水处理厂已建排海管道排海；离子膜冲洗废水进入化盐工序综合利用，不外排；依托的公辅工程排水和初期雨水、地面冲洗水经中水回用系统处理后回用于冷却系统，浓水经明管排入园区污水处理厂。</w:t>
      </w:r>
    </w:p>
    <w:p w14:paraId="74D7BE58">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3.大气污染防治措施。含氯废气进入新建的含氯废气处理系统处理后经25m高排气筒排放；盐酸吸收尾气通过二级降膜吸收+碱洗塔处理后依托现有25m高排气筒排放。</w:t>
      </w:r>
      <w:r>
        <w:rPr>
          <w:rFonts w:hint="eastAsia" w:ascii="仿宋_GB2312" w:hAnsi="仿宋_GB2312" w:eastAsia="仿宋_GB2312" w:cs="仿宋_GB2312"/>
          <w:color w:val="auto"/>
          <w:sz w:val="32"/>
          <w:szCs w:val="32"/>
          <w:lang w:eastAsia="zh-CN"/>
        </w:rPr>
        <w:t>建立设备管理网络体系，硫酸等液体物料在装卸、运输过程中采用密闭管道和封闭接口，严格控制无组织排放污染，加强无组织废气的收集和有效处理。</w:t>
      </w:r>
    </w:p>
    <w:p w14:paraId="12C9E906">
      <w:pPr>
        <w:keepNext w:val="0"/>
        <w:keepLines w:val="0"/>
        <w:pageBreakBefore w:val="0"/>
        <w:widowControl w:val="0"/>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hAnsi="Times New Roman" w:eastAsia="仿宋_GB2312" w:cs="Times New Roman"/>
          <w:sz w:val="32"/>
          <w:szCs w:val="32"/>
          <w:highlight w:val="none"/>
          <w:lang w:eastAsia="zh-CN"/>
        </w:rPr>
        <w:t>项目环境防护距离执行现有工程环境防护距离，即企业厂界外1000m形成的包络区域，该范围内目前无居住区、学校、医院、等环境敏感目标。你司应继续配合当地政府和建设规划部门，做好防护距离内的规划用地控制工作。</w:t>
      </w:r>
    </w:p>
    <w:p w14:paraId="24E8CB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4.固体废物污染防治措施。加强固体废物的收集、储存、转运和处置的全过程管理，</w:t>
      </w:r>
      <w:r>
        <w:rPr>
          <w:rFonts w:hint="eastAsia" w:ascii="仿宋_GB2312" w:hAnsi="仿宋_GB2312" w:eastAsia="仿宋_GB2312" w:cs="仿宋_GB2312"/>
          <w:color w:val="auto"/>
          <w:sz w:val="32"/>
          <w:szCs w:val="32"/>
          <w:lang w:eastAsia="zh-CN"/>
        </w:rPr>
        <w:t>按规范设置固体废物分类暂存场所，并采取有效的防渗漏、防扬尘措施</w:t>
      </w:r>
      <w:r>
        <w:rPr>
          <w:rFonts w:hint="eastAsia" w:ascii="仿宋_GB2312" w:hAnsi="仿宋_GB2312" w:eastAsia="仿宋_GB2312" w:cs="仿宋_GB2312"/>
          <w:color w:val="auto"/>
          <w:sz w:val="32"/>
          <w:szCs w:val="32"/>
          <w:lang w:val="en-US" w:eastAsia="zh-CN"/>
        </w:rPr>
        <w:t>。本项目新增一般固体废物为一次盐水精制过程产生的盐泥，暂存于现有盐泥库后委托有资质单位进行综合利用；新增的废离子膜、废MRO脱硝膜等危险废物</w:t>
      </w:r>
      <w:r>
        <w:rPr>
          <w:rFonts w:hint="eastAsia" w:ascii="仿宋_GB2312" w:hAnsi="仿宋_GB2312" w:eastAsia="仿宋_GB2312" w:cs="仿宋_GB2312"/>
          <w:color w:val="auto"/>
          <w:sz w:val="32"/>
          <w:szCs w:val="32"/>
          <w:highlight w:val="none"/>
          <w:lang w:val="en-US" w:eastAsia="zh-CN"/>
        </w:rPr>
        <w:t>临时贮存于现有的危险废物贮存库</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highlight w:val="none"/>
          <w:lang w:val="en-US" w:eastAsia="zh-CN"/>
        </w:rPr>
        <w:t>委托有资质的单位进行妥善处置。</w:t>
      </w:r>
    </w:p>
    <w:p w14:paraId="04F3BF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噪声污染防治。优先选用低噪声设备，高噪声设备采取减振、隔声、消声等综合降噪措施，确保厂界噪声达标。</w:t>
      </w:r>
    </w:p>
    <w:p w14:paraId="5B047A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6.土壤和地下水污染防治。严格按照《地下污染源防渗技术指南》（试行）、《石油化工工程防渗技术规范》（GB/T50934-2013）、《一般工业固体废物贮存和填埋污染控制标准》（GB18599-2020）以及《环境影响评价技术导则-地下水环境》（HJ610-2016）等相关要求对各功能区进行分区防渗</w:t>
      </w:r>
      <w:r>
        <w:rPr>
          <w:rFonts w:hint="eastAsia" w:ascii="仿宋_GB2312" w:hAnsi="仿宋_GB2312" w:eastAsia="仿宋_GB2312" w:cs="仿宋_GB2312"/>
          <w:color w:val="auto"/>
          <w:sz w:val="32"/>
          <w:szCs w:val="32"/>
          <w:lang w:eastAsia="zh-CN"/>
        </w:rPr>
        <w:t>，并加强防渗设施的日常检查和维护。及时按照根据重点污染防治区平面布置、地下水流向，合理设置土壤和地下水监测点，严格落实土壤和地下水监测计划。</w:t>
      </w:r>
    </w:p>
    <w:p w14:paraId="5994FBE7">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7.环境风险防范措施。</w:t>
      </w:r>
      <w:r>
        <w:rPr>
          <w:rFonts w:hint="eastAsia" w:ascii="仿宋_GB2312" w:hAnsi="仿宋_GB2312" w:eastAsia="仿宋_GB2312" w:cs="仿宋_GB2312"/>
          <w:color w:val="auto"/>
          <w:sz w:val="32"/>
          <w:szCs w:val="32"/>
          <w:highlight w:val="none"/>
          <w:lang w:val="en-US" w:eastAsia="zh-CN"/>
        </w:rPr>
        <w:t>严格落实《报告书》中提出的各项环境风险防范、应急措施，及时更新突发环境事件应急预案，重点做好生产装置区、储罐区及污染防治措施等场所环境风险防范工作，配套视频监控系统、火灾报警系统、可燃、有毒有害气体泄漏自动监测系统等，严防泄漏事故发生。设置足够容积的事故应急池和初期雨水池，生产车间设置导流系统，罐区设置围堰、报警装置、备用罐等，建立事故废水收集、处理设施监测和预警系统，在厂区污水总排口及雨水排口设置切换阀，确保初期雨水、事故废水得到全部有效收集处理，防止事故情况下事故废水进入园区污水处理厂和周边水体。</w:t>
      </w:r>
    </w:p>
    <w:p w14:paraId="6AAA5D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碳排放管理。落实国家发展改革委等部门《关于严格能效约束推动重点领域节能降碳的若干意见》（发改产业〔2021〕1464号）要求，并衔接落实省、市能耗双控目标任务和有关区域、行业碳达峰行动方案等政策，强化节能降耗、优化减污措施，确保企业能效达到行业标杆水平，严格控制单位产品能耗和碳排放强度，实现减污降碳协同控制。</w:t>
      </w:r>
    </w:p>
    <w:p w14:paraId="45DE2E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污染物排放标准和主要污染物允许排放控制要求:</w:t>
      </w:r>
    </w:p>
    <w:p w14:paraId="129C26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（一）污染物排放标准</w:t>
      </w:r>
    </w:p>
    <w:p w14:paraId="70913866">
      <w:pPr>
        <w:pStyle w:val="37"/>
        <w:keepNext w:val="0"/>
        <w:keepLines w:val="0"/>
        <w:pageBreakBefore w:val="0"/>
        <w:widowControl w:val="0"/>
        <w:kinsoku/>
        <w:wordWrap/>
        <w:overflowPunct/>
        <w:topLinePunct w:val="0"/>
        <w:autoSpaceDE/>
        <w:autoSpaceDN/>
        <w:bidi w:val="0"/>
        <w:spacing w:line="600" w:lineRule="exact"/>
        <w:ind w:firstLine="48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eastAsia="zh-CN"/>
        </w:rPr>
        <w:t>1.废气。</w:t>
      </w:r>
      <w:r>
        <w:rPr>
          <w:rFonts w:hint="default" w:ascii="仿宋_GB2312" w:hAnsi="仿宋_GB2312" w:eastAsia="仿宋_GB2312" w:cs="仿宋_GB2312"/>
          <w:color w:val="auto"/>
          <w:sz w:val="32"/>
          <w:szCs w:val="32"/>
          <w:lang w:eastAsia="zh-CN"/>
        </w:rPr>
        <w:t>有组织排放的氯化氢、氯气执行《烧碱、聚氯乙烯工业污染物排放</w:t>
      </w:r>
      <w:r>
        <w:rPr>
          <w:rFonts w:hint="default" w:ascii="仿宋_GB2312" w:hAnsi="仿宋_GB2312" w:eastAsia="仿宋_GB2312" w:cs="仿宋_GB2312"/>
          <w:color w:val="auto"/>
          <w:kern w:val="2"/>
          <w:sz w:val="32"/>
          <w:szCs w:val="32"/>
          <w:lang w:val="en-US" w:eastAsia="zh-CN" w:bidi="ar-SA"/>
        </w:rPr>
        <w:t>标准》（GB15581-2016）表4大气污染物特别排放限值</w:t>
      </w:r>
      <w:r>
        <w:rPr>
          <w:rFonts w:hint="eastAsia" w:ascii="仿宋_GB2312" w:hAnsi="仿宋_GB2312" w:eastAsia="仿宋_GB2312" w:cs="仿宋_GB2312"/>
          <w:color w:val="auto"/>
          <w:kern w:val="2"/>
          <w:sz w:val="32"/>
          <w:szCs w:val="32"/>
          <w:lang w:val="en-US" w:eastAsia="zh-CN" w:bidi="ar-SA"/>
        </w:rPr>
        <w:t>；非甲烷总烃执行《工业企业挥发性有机物排放标准》（DB35/1782-2018）表1排放标准</w:t>
      </w:r>
      <w:r>
        <w:rPr>
          <w:rFonts w:hint="default" w:ascii="仿宋_GB2312" w:hAnsi="仿宋_GB2312" w:eastAsia="仿宋_GB2312" w:cs="仿宋_GB2312"/>
          <w:color w:val="auto"/>
          <w:kern w:val="2"/>
          <w:sz w:val="32"/>
          <w:szCs w:val="32"/>
          <w:lang w:val="en-US" w:eastAsia="zh-CN" w:bidi="ar-SA"/>
        </w:rPr>
        <w:t>。</w:t>
      </w:r>
    </w:p>
    <w:p w14:paraId="0B569719">
      <w:pPr>
        <w:pStyle w:val="37"/>
        <w:keepNext w:val="0"/>
        <w:keepLines w:val="0"/>
        <w:pageBreakBefore w:val="0"/>
        <w:widowControl w:val="0"/>
        <w:kinsoku/>
        <w:wordWrap/>
        <w:overflowPunct/>
        <w:topLinePunct w:val="0"/>
        <w:autoSpaceDE/>
        <w:autoSpaceDN/>
        <w:bidi w:val="0"/>
        <w:spacing w:line="600" w:lineRule="exact"/>
        <w:ind w:firstLine="48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厂界无组织排放的</w:t>
      </w:r>
      <w:r>
        <w:rPr>
          <w:rFonts w:hint="default" w:ascii="仿宋_GB2312" w:hAnsi="仿宋_GB2312" w:eastAsia="仿宋_GB2312" w:cs="仿宋_GB2312"/>
          <w:color w:val="auto"/>
          <w:kern w:val="2"/>
          <w:sz w:val="32"/>
          <w:szCs w:val="32"/>
          <w:lang w:val="en-US" w:eastAsia="zh-CN" w:bidi="ar-SA"/>
        </w:rPr>
        <w:t>氯化氢、氯气执行《烧碱、聚氯乙烯工业污染》物排放标准（GB15581-2016）表5排放限值</w:t>
      </w:r>
      <w:r>
        <w:rPr>
          <w:rFonts w:hint="eastAsia" w:ascii="仿宋_GB2312" w:hAnsi="仿宋_GB2312" w:eastAsia="仿宋_GB2312" w:cs="仿宋_GB2312"/>
          <w:color w:val="auto"/>
          <w:kern w:val="2"/>
          <w:sz w:val="32"/>
          <w:szCs w:val="32"/>
          <w:lang w:val="en-US" w:eastAsia="zh-CN" w:bidi="ar-SA"/>
        </w:rPr>
        <w:t>；《工业企业挥发性有机物排放标准》（DB35/1782-2018）表3限值；厂区内VOCs无组织废气监控点浓度执行《挥发性有机物无组织排放控制标准》（GB37822-2019）表A.1规定的限值。</w:t>
      </w:r>
    </w:p>
    <w:p w14:paraId="5D3B04D1">
      <w:pPr>
        <w:pStyle w:val="1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废水</w:t>
      </w:r>
      <w:r>
        <w:rPr>
          <w:rFonts w:hint="default" w:ascii="仿宋_GB2312" w:hAnsi="仿宋_GB2312" w:eastAsia="仿宋_GB2312" w:cs="仿宋_GB2312"/>
          <w:color w:val="0000FF"/>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烧碱装置高盐废水排放执行《石油化学工业污染物排放标准》(GB31571-2015(含2024年修改单))表1直接排放限值和表3有机特征污染物排放限值、《合成树脂工业污染物排放标准》(GB31572-2015(含2024年修改单))表1直接排放限值、《烧碱、聚氯乙烯工业污染物排放标准》(GB15581-2016)表1直接排放限值等相应行业水污染物直接排放标准、《城镇污水处理厂污染物排放标准》(GB18918-2002)表1一级A标准、《污水综合排放标准》(GB8978-1996)中一级排放标准中的最严格浓度限值</w:t>
      </w:r>
      <w:r>
        <w:rPr>
          <w:rFonts w:hint="eastAsia" w:ascii="仿宋_GB2312" w:hAnsi="仿宋_GB2312" w:eastAsia="仿宋_GB2312" w:cs="仿宋_GB2312"/>
          <w:color w:val="auto"/>
          <w:kern w:val="2"/>
          <w:sz w:val="32"/>
          <w:szCs w:val="32"/>
          <w:lang w:val="en-US" w:eastAsia="zh-CN" w:bidi="ar-SA"/>
        </w:rPr>
        <w:t>。</w:t>
      </w:r>
    </w:p>
    <w:p w14:paraId="311B73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噪声。施工噪声执行《建筑施工场界噪声限值》</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GB12523-2011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厂界噪声执行《工业企业厂界环境噪声排放标准》</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GB12348-2008</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3类标准。</w:t>
      </w:r>
    </w:p>
    <w:p w14:paraId="6C3ECF89">
      <w:pPr>
        <w:pStyle w:val="1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固废。一般工业固体废物贮存执行《一般工业固体废物贮存和填埋污染控制标准》（GB18599-2020）要求；危险废物贮存执行《危险废物贮存污染控制标准》（GB18597-2023）要求，转移管理执行《危险废物转移管理办法》（部令第23号）</w:t>
      </w:r>
      <w:r>
        <w:rPr>
          <w:rFonts w:ascii="仿宋_GB2312" w:eastAsia="仿宋_GB2312"/>
          <w:bCs/>
          <w:spacing w:val="-4"/>
          <w:kern w:val="2"/>
          <w:sz w:val="32"/>
          <w:szCs w:val="32"/>
        </w:rPr>
        <w:t>《危险废物收集贮存运输技术规范》（HJ2025-2012）</w:t>
      </w:r>
      <w:r>
        <w:rPr>
          <w:rFonts w:hint="eastAsia" w:ascii="仿宋_GB2312" w:eastAsia="仿宋_GB2312"/>
          <w:bCs/>
          <w:spacing w:val="-4"/>
          <w:kern w:val="2"/>
          <w:sz w:val="32"/>
          <w:szCs w:val="32"/>
          <w:lang w:eastAsia="zh-CN"/>
        </w:rPr>
        <w:t>等</w:t>
      </w:r>
      <w:r>
        <w:rPr>
          <w:rFonts w:hint="eastAsia" w:ascii="仿宋_GB2312" w:hAnsi="仿宋_GB2312" w:eastAsia="仿宋_GB2312" w:cs="仿宋_GB2312"/>
          <w:color w:val="auto"/>
          <w:kern w:val="2"/>
          <w:sz w:val="32"/>
          <w:szCs w:val="32"/>
          <w:lang w:val="en-US" w:eastAsia="zh-CN" w:bidi="ar-SA"/>
        </w:rPr>
        <w:t>相关规定。</w:t>
      </w:r>
    </w:p>
    <w:p w14:paraId="02915F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主要污染物排放总量控制要求</w:t>
      </w:r>
    </w:p>
    <w:p w14:paraId="35BBF291">
      <w:pPr>
        <w:pStyle w:val="36"/>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eastAsia="zh-CN"/>
        </w:rPr>
        <w:t>新增排放化学需氧量</w:t>
      </w:r>
      <w:r>
        <w:rPr>
          <w:rFonts w:hint="eastAsia" w:ascii="仿宋_GB2312" w:hAnsi="仿宋_GB2312"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lang w:eastAsia="zh-CN"/>
        </w:rPr>
        <w:t>t/a、氨氮0.</w:t>
      </w:r>
      <w:r>
        <w:rPr>
          <w:rFonts w:hint="eastAsia" w:ascii="仿宋_GB2312" w:hAnsi="仿宋_GB2312"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lang w:eastAsia="zh-CN"/>
        </w:rPr>
        <w:t>t/a，挥发性有机物</w:t>
      </w:r>
      <w:r>
        <w:rPr>
          <w:rFonts w:hint="eastAsia" w:ascii="仿宋_GB2312" w:hAnsi="仿宋_GB2312" w:eastAsia="仿宋_GB2312" w:cs="仿宋_GB2312"/>
          <w:color w:val="auto"/>
          <w:sz w:val="32"/>
          <w:szCs w:val="32"/>
          <w:highlight w:val="none"/>
          <w:lang w:val="en-US" w:eastAsia="zh-CN"/>
        </w:rPr>
        <w:t>0.648</w:t>
      </w:r>
      <w:r>
        <w:rPr>
          <w:rFonts w:hint="eastAsia" w:ascii="仿宋_GB2312" w:hAnsi="仿宋_GB2312" w:eastAsia="仿宋_GB2312" w:cs="仿宋_GB2312"/>
          <w:color w:val="auto"/>
          <w:sz w:val="32"/>
          <w:szCs w:val="32"/>
          <w:highlight w:val="none"/>
          <w:lang w:eastAsia="zh-CN"/>
        </w:rPr>
        <w:t>t/a。新增化学需氧量和氨氮排放量不超过你公司已取得的排放总量，无需申购所需总量指标。</w:t>
      </w:r>
    </w:p>
    <w:p w14:paraId="01F1A1D0">
      <w:pPr>
        <w:pStyle w:val="36"/>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扩建后全厂排放化学需氧62.3472t/a、氨氮9.2753t/a、二氧化硫187.3823 t/a、氮氧化物388.4446 t/a，挥发性有机物</w:t>
      </w:r>
      <w:r>
        <w:rPr>
          <w:rFonts w:hint="eastAsia" w:ascii="仿宋_GB2312" w:hAnsi="仿宋_GB2312" w:eastAsia="仿宋_GB2312" w:cs="仿宋_GB2312"/>
          <w:color w:val="auto"/>
          <w:sz w:val="32"/>
          <w:szCs w:val="32"/>
          <w:highlight w:val="none"/>
          <w:lang w:val="en-US" w:eastAsia="zh-CN"/>
        </w:rPr>
        <w:t>0.648</w:t>
      </w:r>
      <w:r>
        <w:rPr>
          <w:rFonts w:hint="eastAsia" w:ascii="仿宋_GB2312" w:hAnsi="仿宋_GB2312" w:eastAsia="仿宋_GB2312" w:cs="仿宋_GB2312"/>
          <w:color w:val="auto"/>
          <w:sz w:val="32"/>
          <w:szCs w:val="32"/>
          <w:highlight w:val="none"/>
          <w:lang w:eastAsia="zh-CN"/>
        </w:rPr>
        <w:t>t/a。</w:t>
      </w:r>
    </w:p>
    <w:p w14:paraId="731596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四、</w:t>
      </w:r>
      <w:r>
        <w:rPr>
          <w:rFonts w:hint="default" w:ascii="仿宋_GB2312" w:hAnsi="仿宋_GB2312" w:eastAsia="仿宋_GB2312" w:cs="仿宋_GB2312"/>
          <w:color w:val="auto"/>
          <w:sz w:val="32"/>
          <w:szCs w:val="32"/>
          <w:highlight w:val="none"/>
          <w:lang w:eastAsia="zh-CN"/>
        </w:rPr>
        <w:t>项目建设应严格执行</w:t>
      </w:r>
      <w:r>
        <w:rPr>
          <w:rFonts w:hint="eastAsia" w:ascii="仿宋_GB2312" w:hAnsi="仿宋_GB2312" w:eastAsia="仿宋_GB2312" w:cs="仿宋_GB2312"/>
          <w:color w:val="auto"/>
          <w:sz w:val="32"/>
          <w:szCs w:val="32"/>
          <w:highlight w:val="none"/>
          <w:lang w:eastAsia="zh-CN"/>
        </w:rPr>
        <w:t>环境保护</w:t>
      </w:r>
      <w:r>
        <w:rPr>
          <w:rFonts w:hint="default" w:ascii="仿宋_GB2312" w:hAnsi="仿宋_GB2312" w:eastAsia="仿宋_GB2312" w:cs="仿宋_GB2312"/>
          <w:color w:val="auto"/>
          <w:sz w:val="32"/>
          <w:szCs w:val="32"/>
          <w:highlight w:val="none"/>
          <w:lang w:eastAsia="zh-CN"/>
        </w:rPr>
        <w:t>“三同时”制度，</w:t>
      </w:r>
      <w:r>
        <w:rPr>
          <w:rFonts w:hint="default" w:ascii="仿宋_GB2312" w:hAnsi="仿宋_GB2312" w:eastAsia="仿宋_GB2312" w:cs="仿宋_GB2312"/>
          <w:color w:val="auto"/>
          <w:sz w:val="32"/>
          <w:szCs w:val="32"/>
          <w:lang w:eastAsia="zh-CN"/>
        </w:rPr>
        <w:t>实施清洁生产</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建成后</w:t>
      </w:r>
      <w:r>
        <w:rPr>
          <w:rFonts w:hint="eastAsia" w:ascii="仿宋_GB2312" w:hAnsi="仿宋_GB2312" w:eastAsia="仿宋_GB2312" w:cs="仿宋_GB2312"/>
          <w:color w:val="auto"/>
          <w:sz w:val="32"/>
          <w:szCs w:val="32"/>
          <w:lang w:eastAsia="zh-CN"/>
        </w:rPr>
        <w:t>应按规定程序实施</w:t>
      </w:r>
      <w:r>
        <w:rPr>
          <w:rFonts w:hint="eastAsia" w:ascii="仿宋_GB2312" w:hAnsi="仿宋_GB2312" w:eastAsia="仿宋_GB2312" w:cs="仿宋_GB2312"/>
          <w:color w:val="auto"/>
          <w:sz w:val="32"/>
          <w:szCs w:val="32"/>
          <w:lang w:val="en-US" w:eastAsia="zh-CN"/>
        </w:rPr>
        <w:t>竣工</w:t>
      </w:r>
      <w:r>
        <w:rPr>
          <w:rFonts w:hint="default" w:ascii="仿宋_GB2312" w:hAnsi="仿宋_GB2312" w:eastAsia="仿宋_GB2312" w:cs="仿宋_GB2312"/>
          <w:color w:val="auto"/>
          <w:sz w:val="32"/>
          <w:szCs w:val="32"/>
          <w:lang w:eastAsia="zh-CN"/>
        </w:rPr>
        <w:t>环</w:t>
      </w:r>
      <w:r>
        <w:rPr>
          <w:rFonts w:hint="eastAsia" w:ascii="仿宋_GB2312" w:hAnsi="仿宋_GB2312" w:eastAsia="仿宋_GB2312" w:cs="仿宋_GB2312"/>
          <w:color w:val="auto"/>
          <w:sz w:val="32"/>
          <w:szCs w:val="32"/>
          <w:lang w:val="en-US" w:eastAsia="zh-CN"/>
        </w:rPr>
        <w:t>境</w:t>
      </w:r>
      <w:r>
        <w:rPr>
          <w:rFonts w:hint="default" w:ascii="仿宋_GB2312" w:hAnsi="仿宋_GB2312" w:eastAsia="仿宋_GB2312" w:cs="仿宋_GB2312"/>
          <w:color w:val="auto"/>
          <w:sz w:val="32"/>
          <w:szCs w:val="32"/>
          <w:lang w:eastAsia="zh-CN"/>
        </w:rPr>
        <w:t>保</w:t>
      </w:r>
      <w:r>
        <w:rPr>
          <w:rFonts w:hint="eastAsia" w:ascii="仿宋_GB2312" w:hAnsi="仿宋_GB2312" w:eastAsia="仿宋_GB2312" w:cs="仿宋_GB2312"/>
          <w:color w:val="auto"/>
          <w:sz w:val="32"/>
          <w:szCs w:val="32"/>
          <w:lang w:val="en-US" w:eastAsia="zh-CN"/>
        </w:rPr>
        <w:t>护</w:t>
      </w:r>
      <w:r>
        <w:rPr>
          <w:rFonts w:hint="default" w:ascii="仿宋_GB2312" w:hAnsi="仿宋_GB2312" w:eastAsia="仿宋_GB2312" w:cs="仿宋_GB2312"/>
          <w:color w:val="auto"/>
          <w:sz w:val="32"/>
          <w:szCs w:val="32"/>
          <w:lang w:eastAsia="zh-CN"/>
        </w:rPr>
        <w:t>验收。</w:t>
      </w:r>
    </w:p>
    <w:p w14:paraId="12B148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eastAsia="仿宋_GB2312"/>
          <w:color w:val="auto"/>
          <w:sz w:val="32"/>
          <w:szCs w:val="32"/>
          <w:highlight w:val="none"/>
          <w:lang w:val="en-US" w:eastAsia="zh-CN"/>
        </w:rPr>
        <w:t>环境影响报告书经批准后，项目的性质、规模、地点、工艺或者防治污染、防止生态破坏的措施发生重大变动的，应当重新报批该项目的环境影响报告书。自环境影响报告书批复之日起，如超过5年方决定开工建设的，环境影响报告书应重新审核。</w:t>
      </w:r>
    </w:p>
    <w:p w14:paraId="2908D1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我局委托福州市生态环境保护综合执法支队开展该</w:t>
      </w:r>
      <w:r>
        <w:rPr>
          <w:rFonts w:hint="eastAsia" w:ascii="仿宋_GB2312" w:hAnsi="仿宋_GB2312" w:eastAsia="仿宋_GB2312" w:cs="仿宋_GB2312"/>
          <w:color w:val="auto"/>
          <w:sz w:val="32"/>
          <w:szCs w:val="32"/>
          <w:lang w:val="en-US" w:eastAsia="zh-CN"/>
        </w:rPr>
        <w:t>项目</w:t>
      </w:r>
      <w:r>
        <w:rPr>
          <w:rFonts w:hint="default" w:ascii="仿宋_GB2312" w:hAnsi="仿宋_GB2312" w:eastAsia="仿宋_GB2312" w:cs="仿宋_GB2312"/>
          <w:color w:val="auto"/>
          <w:sz w:val="32"/>
          <w:szCs w:val="32"/>
          <w:lang w:eastAsia="zh-CN"/>
        </w:rPr>
        <w:t>环保“三同时”监督检查，由福州市</w:t>
      </w:r>
      <w:r>
        <w:rPr>
          <w:rFonts w:hint="eastAsia" w:ascii="仿宋_GB2312" w:hAnsi="仿宋_GB2312" w:eastAsia="仿宋_GB2312" w:cs="仿宋_GB2312"/>
          <w:color w:val="auto"/>
          <w:sz w:val="32"/>
          <w:szCs w:val="32"/>
          <w:lang w:eastAsia="zh-CN"/>
        </w:rPr>
        <w:t>福清</w:t>
      </w:r>
      <w:r>
        <w:rPr>
          <w:rFonts w:hint="default" w:ascii="仿宋_GB2312" w:hAnsi="仿宋_GB2312" w:eastAsia="仿宋_GB2312" w:cs="仿宋_GB2312"/>
          <w:color w:val="auto"/>
          <w:sz w:val="32"/>
          <w:szCs w:val="32"/>
          <w:lang w:eastAsia="zh-CN"/>
        </w:rPr>
        <w:t>生态环境局负责该项目竣工</w:t>
      </w:r>
      <w:r>
        <w:rPr>
          <w:rFonts w:hint="eastAsia" w:ascii="仿宋_GB2312" w:hAnsi="仿宋_GB2312" w:eastAsia="仿宋_GB2312" w:cs="仿宋_GB2312"/>
          <w:color w:val="auto"/>
          <w:sz w:val="32"/>
          <w:szCs w:val="32"/>
          <w:lang w:val="en-US" w:eastAsia="zh-CN"/>
        </w:rPr>
        <w:t>环保</w:t>
      </w:r>
      <w:r>
        <w:rPr>
          <w:rFonts w:hint="default" w:ascii="仿宋_GB2312" w:hAnsi="仿宋_GB2312" w:eastAsia="仿宋_GB2312" w:cs="仿宋_GB2312"/>
          <w:color w:val="auto"/>
          <w:sz w:val="32"/>
          <w:szCs w:val="32"/>
          <w:lang w:eastAsia="zh-CN"/>
        </w:rPr>
        <w:t>验收后的日常环保监督管理工作。</w:t>
      </w:r>
    </w:p>
    <w:p w14:paraId="493F8D8F">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sz w:val="32"/>
          <w:szCs w:val="32"/>
          <w:lang w:eastAsia="zh-CN"/>
        </w:rPr>
      </w:pPr>
    </w:p>
    <w:p w14:paraId="10E7D93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福州市生态环境局</w:t>
      </w:r>
      <w:r>
        <w:rPr>
          <w:rFonts w:hint="eastAsia" w:ascii="仿宋_GB2312" w:hAnsi="仿宋_GB2312" w:eastAsia="仿宋_GB2312" w:cs="仿宋_GB2312"/>
          <w:color w:val="auto"/>
          <w:sz w:val="32"/>
          <w:szCs w:val="32"/>
          <w:lang w:val="en-US" w:eastAsia="zh-CN"/>
        </w:rPr>
        <w:t xml:space="preserve">         </w:t>
      </w:r>
    </w:p>
    <w:p w14:paraId="1EE89C1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25</w:t>
      </w:r>
      <w:r>
        <w:rPr>
          <w:rFonts w:hint="default"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12</w:t>
      </w:r>
      <w:r>
        <w:rPr>
          <w:rFonts w:hint="default"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19</w:t>
      </w:r>
      <w:r>
        <w:rPr>
          <w:rFonts w:hint="default"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 xml:space="preserve">         </w:t>
      </w:r>
    </w:p>
    <w:p w14:paraId="638EF1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36"/>
          <w:lang w:val="en-US" w:eastAsia="zh-CN"/>
        </w:rPr>
      </w:pPr>
    </w:p>
    <w:tbl>
      <w:tblPr>
        <w:tblStyle w:val="10"/>
        <w:tblpPr w:leftFromText="180" w:rightFromText="180" w:vertAnchor="text" w:horzAnchor="page" w:tblpX="1630" w:tblpY="9310"/>
        <w:tblOverlap w:val="never"/>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780"/>
        <w:gridCol w:w="3675"/>
      </w:tblGrid>
      <w:tr w14:paraId="7D0D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60" w:type="dxa"/>
            <w:tcBorders>
              <w:top w:val="single" w:color="auto" w:sz="4" w:space="0"/>
              <w:left w:val="nil"/>
              <w:bottom w:val="single" w:color="auto" w:sz="4" w:space="0"/>
              <w:right w:val="nil"/>
            </w:tcBorders>
            <w:vAlign w:val="center"/>
          </w:tcPr>
          <w:p w14:paraId="20AF2084">
            <w:pPr>
              <w:keepNext w:val="0"/>
              <w:keepLines w:val="0"/>
              <w:pageBreakBefore w:val="0"/>
              <w:widowControl w:val="0"/>
              <w:tabs>
                <w:tab w:val="left" w:pos="3885"/>
              </w:tabs>
              <w:kinsoku/>
              <w:wordWrap/>
              <w:overflowPunct/>
              <w:topLinePunct w:val="0"/>
              <w:autoSpaceDE/>
              <w:autoSpaceDN/>
              <w:bidi w:val="0"/>
              <w:ind w:firstLine="179" w:firstLineChars="64"/>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抄送：</w:t>
            </w:r>
          </w:p>
        </w:tc>
        <w:tc>
          <w:tcPr>
            <w:tcW w:w="7455" w:type="dxa"/>
            <w:gridSpan w:val="2"/>
            <w:tcBorders>
              <w:top w:val="single" w:color="auto" w:sz="4" w:space="0"/>
              <w:left w:val="nil"/>
              <w:bottom w:val="single" w:color="auto" w:sz="4" w:space="0"/>
              <w:right w:val="nil"/>
            </w:tcBorders>
            <w:vAlign w:val="center"/>
          </w:tcPr>
          <w:p w14:paraId="48DE7811">
            <w:pPr>
              <w:keepNext w:val="0"/>
              <w:keepLines w:val="0"/>
              <w:pageBreakBefore w:val="0"/>
              <w:widowControl w:val="0"/>
              <w:tabs>
                <w:tab w:val="left" w:pos="3885"/>
              </w:tabs>
              <w:kinsoku/>
              <w:wordWrap/>
              <w:overflowPunct/>
              <w:topLinePunct w:val="0"/>
              <w:autoSpaceDE/>
              <w:autoSpaceDN/>
              <w:bidi w:val="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福州市生态环境局大气处、土壤处、海洋处，福州市发展和改革委员会、福州市工业和信息化局、</w:t>
            </w:r>
            <w:r>
              <w:rPr>
                <w:rFonts w:hint="eastAsia" w:ascii="仿宋_GB2312" w:eastAsia="仿宋_GB2312"/>
                <w:color w:val="auto"/>
                <w:sz w:val="28"/>
                <w:szCs w:val="28"/>
                <w:highlight w:val="none"/>
              </w:rPr>
              <w:t>福州市生态环境保护综合执法支队，</w:t>
            </w:r>
            <w:r>
              <w:rPr>
                <w:rFonts w:hint="eastAsia" w:ascii="仿宋_GB2312" w:eastAsia="仿宋_GB2312"/>
                <w:color w:val="auto"/>
                <w:sz w:val="28"/>
                <w:szCs w:val="28"/>
                <w:highlight w:val="none"/>
                <w:lang w:val="en-US" w:eastAsia="zh-CN"/>
              </w:rPr>
              <w:t>福州江阴港城经济</w:t>
            </w:r>
            <w:r>
              <w:rPr>
                <w:rFonts w:hint="eastAsia" w:ascii="仿宋_GB2312" w:eastAsia="仿宋_GB2312"/>
                <w:color w:val="auto"/>
                <w:sz w:val="28"/>
                <w:szCs w:val="28"/>
                <w:highlight w:val="none"/>
                <w:lang w:eastAsia="zh-CN"/>
              </w:rPr>
              <w:t>区</w:t>
            </w:r>
            <w:r>
              <w:rPr>
                <w:rFonts w:hint="eastAsia" w:ascii="仿宋_GB2312" w:eastAsia="仿宋_GB2312"/>
                <w:color w:val="auto"/>
                <w:sz w:val="28"/>
                <w:szCs w:val="28"/>
                <w:highlight w:val="none"/>
              </w:rPr>
              <w:t>管</w:t>
            </w:r>
            <w:r>
              <w:rPr>
                <w:rFonts w:hint="eastAsia" w:ascii="仿宋_GB2312" w:eastAsia="仿宋_GB2312"/>
                <w:color w:val="auto"/>
                <w:sz w:val="28"/>
                <w:szCs w:val="28"/>
                <w:highlight w:val="none"/>
                <w:lang w:val="en-US" w:eastAsia="zh-CN"/>
              </w:rPr>
              <w:t>理</w:t>
            </w:r>
            <w:r>
              <w:rPr>
                <w:rFonts w:hint="eastAsia" w:ascii="仿宋_GB2312" w:eastAsia="仿宋_GB2312"/>
                <w:color w:val="auto"/>
                <w:sz w:val="28"/>
                <w:szCs w:val="28"/>
                <w:highlight w:val="none"/>
              </w:rPr>
              <w:t>委</w:t>
            </w:r>
            <w:r>
              <w:rPr>
                <w:rFonts w:hint="eastAsia" w:ascii="仿宋_GB2312" w:eastAsia="仿宋_GB2312"/>
                <w:color w:val="auto"/>
                <w:sz w:val="28"/>
                <w:szCs w:val="28"/>
                <w:highlight w:val="none"/>
                <w:lang w:val="en-US" w:eastAsia="zh-CN"/>
              </w:rPr>
              <w:t>员</w:t>
            </w:r>
            <w:r>
              <w:rPr>
                <w:rFonts w:hint="eastAsia" w:ascii="仿宋_GB2312" w:eastAsia="仿宋_GB2312"/>
                <w:color w:val="auto"/>
                <w:sz w:val="28"/>
                <w:szCs w:val="28"/>
                <w:highlight w:val="none"/>
              </w:rPr>
              <w:t>会，</w:t>
            </w:r>
            <w:r>
              <w:rPr>
                <w:rFonts w:hint="eastAsia" w:ascii="仿宋_GB2312" w:eastAsia="仿宋_GB2312"/>
                <w:color w:val="auto"/>
                <w:sz w:val="28"/>
                <w:szCs w:val="28"/>
                <w:highlight w:val="none"/>
                <w:lang w:val="en-US" w:eastAsia="zh-CN"/>
              </w:rPr>
              <w:t>福州市</w:t>
            </w:r>
            <w:r>
              <w:rPr>
                <w:rFonts w:hint="eastAsia" w:ascii="仿宋_GB2312" w:eastAsia="仿宋_GB2312"/>
                <w:color w:val="auto"/>
                <w:sz w:val="28"/>
                <w:szCs w:val="28"/>
                <w:highlight w:val="none"/>
              </w:rPr>
              <w:t>福清</w:t>
            </w:r>
            <w:r>
              <w:rPr>
                <w:rFonts w:hint="eastAsia" w:ascii="仿宋_GB2312" w:eastAsia="仿宋_GB2312"/>
                <w:color w:val="auto"/>
                <w:sz w:val="28"/>
                <w:szCs w:val="28"/>
                <w:highlight w:val="none"/>
                <w:lang w:val="en-US" w:eastAsia="zh-CN"/>
              </w:rPr>
              <w:t>生态环境</w:t>
            </w:r>
            <w:r>
              <w:rPr>
                <w:rFonts w:hint="eastAsia" w:ascii="仿宋_GB2312" w:eastAsia="仿宋_GB2312"/>
                <w:color w:val="auto"/>
                <w:sz w:val="28"/>
                <w:szCs w:val="28"/>
                <w:highlight w:val="none"/>
              </w:rPr>
              <w:t>局，</w:t>
            </w:r>
            <w:r>
              <w:rPr>
                <w:rFonts w:hint="eastAsia" w:ascii="仿宋_GB2312" w:eastAsia="仿宋_GB2312"/>
                <w:color w:val="auto"/>
                <w:sz w:val="28"/>
                <w:szCs w:val="28"/>
              </w:rPr>
              <w:t>福州市环境影响评价技术中心，</w:t>
            </w:r>
            <w:r>
              <w:rPr>
                <w:rFonts w:hint="eastAsia" w:ascii="仿宋_GB2312" w:eastAsia="仿宋_GB2312"/>
                <w:color w:val="auto"/>
                <w:sz w:val="28"/>
                <w:szCs w:val="28"/>
                <w:highlight w:val="none"/>
                <w:lang w:val="en-US" w:eastAsia="zh-CN"/>
              </w:rPr>
              <w:t>福建省石油化学工业设计院有限公司</w:t>
            </w:r>
            <w:r>
              <w:rPr>
                <w:rFonts w:hint="eastAsia" w:ascii="仿宋_GB2312" w:eastAsia="仿宋_GB2312"/>
                <w:color w:val="auto"/>
                <w:sz w:val="28"/>
                <w:szCs w:val="28"/>
                <w:highlight w:val="none"/>
              </w:rPr>
              <w:t>。</w:t>
            </w:r>
          </w:p>
        </w:tc>
      </w:tr>
      <w:tr w14:paraId="06C1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40" w:type="dxa"/>
            <w:gridSpan w:val="2"/>
            <w:tcBorders>
              <w:top w:val="single" w:color="auto" w:sz="4" w:space="0"/>
              <w:left w:val="nil"/>
              <w:bottom w:val="single" w:color="auto" w:sz="4" w:space="0"/>
              <w:right w:val="nil"/>
            </w:tcBorders>
            <w:vAlign w:val="center"/>
          </w:tcPr>
          <w:p w14:paraId="28B28AF0">
            <w:pPr>
              <w:keepNext w:val="0"/>
              <w:keepLines w:val="0"/>
              <w:pageBreakBefore w:val="0"/>
              <w:widowControl w:val="0"/>
              <w:tabs>
                <w:tab w:val="left" w:pos="3885"/>
              </w:tabs>
              <w:kinsoku/>
              <w:wordWrap/>
              <w:overflowPunct/>
              <w:topLinePunct w:val="0"/>
              <w:autoSpaceDE/>
              <w:autoSpaceDN/>
              <w:bidi w:val="0"/>
              <w:ind w:firstLine="179" w:firstLineChars="64"/>
              <w:textAlignment w:val="auto"/>
              <w:rPr>
                <w:rFonts w:hint="eastAsia" w:eastAsia="仿宋_GB2312"/>
                <w:color w:val="auto"/>
                <w:sz w:val="28"/>
                <w:szCs w:val="28"/>
                <w:highlight w:val="none"/>
              </w:rPr>
            </w:pPr>
            <w:r>
              <w:rPr>
                <w:rFonts w:hint="eastAsia" w:ascii="仿宋_GB2312" w:eastAsia="仿宋_GB2312"/>
                <w:color w:val="auto"/>
                <w:sz w:val="28"/>
                <w:szCs w:val="28"/>
                <w:highlight w:val="none"/>
              </w:rPr>
              <w:t>福州市</w:t>
            </w:r>
            <w:r>
              <w:rPr>
                <w:rFonts w:hint="eastAsia" w:ascii="仿宋_GB2312" w:eastAsia="仿宋_GB2312"/>
                <w:color w:val="auto"/>
                <w:sz w:val="28"/>
                <w:szCs w:val="28"/>
                <w:highlight w:val="none"/>
                <w:lang w:val="en-US" w:eastAsia="zh-CN"/>
              </w:rPr>
              <w:t>生态</w:t>
            </w:r>
            <w:r>
              <w:rPr>
                <w:rFonts w:hint="eastAsia" w:ascii="仿宋_GB2312" w:eastAsia="仿宋_GB2312"/>
                <w:color w:val="auto"/>
                <w:sz w:val="28"/>
                <w:szCs w:val="28"/>
                <w:highlight w:val="none"/>
              </w:rPr>
              <w:t>环境局</w:t>
            </w:r>
          </w:p>
        </w:tc>
        <w:tc>
          <w:tcPr>
            <w:tcW w:w="3675" w:type="dxa"/>
            <w:tcBorders>
              <w:top w:val="single" w:color="auto" w:sz="4" w:space="0"/>
              <w:left w:val="nil"/>
              <w:bottom w:val="single" w:color="auto" w:sz="4" w:space="0"/>
              <w:right w:val="nil"/>
            </w:tcBorders>
            <w:vAlign w:val="center"/>
          </w:tcPr>
          <w:p w14:paraId="3B8E4562">
            <w:pPr>
              <w:keepNext w:val="0"/>
              <w:keepLines w:val="0"/>
              <w:pageBreakBefore w:val="0"/>
              <w:widowControl w:val="0"/>
              <w:tabs>
                <w:tab w:val="left" w:pos="3882"/>
                <w:tab w:val="left" w:pos="3987"/>
              </w:tabs>
              <w:kinsoku/>
              <w:wordWrap/>
              <w:overflowPunct/>
              <w:topLinePunct w:val="0"/>
              <w:autoSpaceDE/>
              <w:autoSpaceDN/>
              <w:bidi w:val="0"/>
              <w:ind w:right="311" w:rightChars="148" w:firstLine="280" w:firstLineChars="100"/>
              <w:jc w:val="both"/>
              <w:textAlignment w:val="auto"/>
              <w:rPr>
                <w:rFonts w:hint="eastAsia" w:eastAsia="仿宋_GB2312"/>
                <w:color w:val="auto"/>
                <w:sz w:val="28"/>
                <w:szCs w:val="28"/>
                <w:highlight w:val="none"/>
              </w:rPr>
            </w:pPr>
            <w:r>
              <w:rPr>
                <w:rFonts w:hint="eastAsia" w:ascii="仿宋_GB2312" w:eastAsia="仿宋_GB2312"/>
                <w:color w:val="auto"/>
                <w:sz w:val="28"/>
                <w:szCs w:val="28"/>
                <w:highlight w:val="none"/>
              </w:rPr>
              <w:t>20</w:t>
            </w:r>
            <w:r>
              <w:rPr>
                <w:rFonts w:hint="eastAsia" w:ascii="仿宋_GB2312" w:eastAsia="仿宋_GB2312"/>
                <w:color w:val="auto"/>
                <w:sz w:val="28"/>
                <w:szCs w:val="28"/>
                <w:highlight w:val="none"/>
                <w:lang w:val="en-US" w:eastAsia="zh-CN"/>
              </w:rPr>
              <w:t>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19</w:t>
            </w:r>
            <w:r>
              <w:rPr>
                <w:rFonts w:hint="eastAsia" w:ascii="仿宋_GB2312" w:eastAsia="仿宋_GB2312"/>
                <w:color w:val="auto"/>
                <w:sz w:val="28"/>
                <w:szCs w:val="28"/>
                <w:highlight w:val="none"/>
              </w:rPr>
              <w:t>日印发</w:t>
            </w:r>
          </w:p>
        </w:tc>
      </w:tr>
    </w:tbl>
    <w:p w14:paraId="33A92E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28"/>
          <w:szCs w:val="36"/>
          <w:lang w:val="en-US" w:eastAsia="zh-CN"/>
        </w:rPr>
      </w:pPr>
    </w:p>
    <w:sectPr>
      <w:footerReference r:id="rId3" w:type="default"/>
      <w:pgSz w:w="11906" w:h="16838"/>
      <w:pgMar w:top="1417" w:right="141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36551">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BED59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BED59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GM2NWJlN2Q1ZTkzMWY3Y2U5YTgzOTNjODgxZTIifQ=="/>
  </w:docVars>
  <w:rsids>
    <w:rsidRoot w:val="696C0580"/>
    <w:rsid w:val="00314828"/>
    <w:rsid w:val="00692738"/>
    <w:rsid w:val="01987DDD"/>
    <w:rsid w:val="025A34EF"/>
    <w:rsid w:val="02D745CA"/>
    <w:rsid w:val="03970A56"/>
    <w:rsid w:val="044802BF"/>
    <w:rsid w:val="04A92894"/>
    <w:rsid w:val="050719E6"/>
    <w:rsid w:val="07092588"/>
    <w:rsid w:val="08147124"/>
    <w:rsid w:val="0984296C"/>
    <w:rsid w:val="09C61079"/>
    <w:rsid w:val="09D23B88"/>
    <w:rsid w:val="0A981688"/>
    <w:rsid w:val="0BD630CF"/>
    <w:rsid w:val="10CF2EC9"/>
    <w:rsid w:val="1137447D"/>
    <w:rsid w:val="11501824"/>
    <w:rsid w:val="11FF7FAA"/>
    <w:rsid w:val="12BC1803"/>
    <w:rsid w:val="1482434D"/>
    <w:rsid w:val="163C4FD2"/>
    <w:rsid w:val="17456D3E"/>
    <w:rsid w:val="18D671C0"/>
    <w:rsid w:val="1A9D2BD3"/>
    <w:rsid w:val="1B815C7B"/>
    <w:rsid w:val="1ED67B9D"/>
    <w:rsid w:val="1FA70DD5"/>
    <w:rsid w:val="204F3470"/>
    <w:rsid w:val="23996722"/>
    <w:rsid w:val="24784727"/>
    <w:rsid w:val="248203F5"/>
    <w:rsid w:val="256E27C6"/>
    <w:rsid w:val="260F1EB6"/>
    <w:rsid w:val="26C41CC7"/>
    <w:rsid w:val="2793399F"/>
    <w:rsid w:val="2816406D"/>
    <w:rsid w:val="28DB47DA"/>
    <w:rsid w:val="29A87A77"/>
    <w:rsid w:val="2AFC7F0E"/>
    <w:rsid w:val="2B145390"/>
    <w:rsid w:val="2C4D4D26"/>
    <w:rsid w:val="2D5910EC"/>
    <w:rsid w:val="2D607006"/>
    <w:rsid w:val="319E1514"/>
    <w:rsid w:val="31E4474B"/>
    <w:rsid w:val="329917AB"/>
    <w:rsid w:val="34111FF3"/>
    <w:rsid w:val="3443336F"/>
    <w:rsid w:val="348509FF"/>
    <w:rsid w:val="353D07B6"/>
    <w:rsid w:val="372A11C3"/>
    <w:rsid w:val="37D82326"/>
    <w:rsid w:val="3A8C7944"/>
    <w:rsid w:val="3FC47AEC"/>
    <w:rsid w:val="404C4D2B"/>
    <w:rsid w:val="4298462C"/>
    <w:rsid w:val="42AA783F"/>
    <w:rsid w:val="44641345"/>
    <w:rsid w:val="45570A8B"/>
    <w:rsid w:val="45802993"/>
    <w:rsid w:val="46F20AF1"/>
    <w:rsid w:val="46F87E0D"/>
    <w:rsid w:val="47626221"/>
    <w:rsid w:val="498C3945"/>
    <w:rsid w:val="4A481537"/>
    <w:rsid w:val="4A7960E6"/>
    <w:rsid w:val="4BBC405F"/>
    <w:rsid w:val="4D471EA4"/>
    <w:rsid w:val="4DF23350"/>
    <w:rsid w:val="4E552A1D"/>
    <w:rsid w:val="4E6D6B33"/>
    <w:rsid w:val="4E7A0188"/>
    <w:rsid w:val="50482E9C"/>
    <w:rsid w:val="513F53BD"/>
    <w:rsid w:val="51C40B1C"/>
    <w:rsid w:val="52D12E6D"/>
    <w:rsid w:val="531836DF"/>
    <w:rsid w:val="53B272CD"/>
    <w:rsid w:val="540175D9"/>
    <w:rsid w:val="54A55A18"/>
    <w:rsid w:val="54FC55EB"/>
    <w:rsid w:val="55457924"/>
    <w:rsid w:val="571915F2"/>
    <w:rsid w:val="57C912EF"/>
    <w:rsid w:val="57E87DE4"/>
    <w:rsid w:val="587A2A06"/>
    <w:rsid w:val="596207F7"/>
    <w:rsid w:val="59A36E80"/>
    <w:rsid w:val="59D67C91"/>
    <w:rsid w:val="5BA12CE0"/>
    <w:rsid w:val="5CE21136"/>
    <w:rsid w:val="5F350E2D"/>
    <w:rsid w:val="5FD923CA"/>
    <w:rsid w:val="5FF95799"/>
    <w:rsid w:val="614C7264"/>
    <w:rsid w:val="616924BA"/>
    <w:rsid w:val="62CE1C1E"/>
    <w:rsid w:val="643F11E3"/>
    <w:rsid w:val="64571752"/>
    <w:rsid w:val="650352F1"/>
    <w:rsid w:val="667E70CA"/>
    <w:rsid w:val="66E040A4"/>
    <w:rsid w:val="67A90512"/>
    <w:rsid w:val="68AE7A88"/>
    <w:rsid w:val="68E936B6"/>
    <w:rsid w:val="68F15C91"/>
    <w:rsid w:val="69370DB3"/>
    <w:rsid w:val="696C0580"/>
    <w:rsid w:val="6AFF58C7"/>
    <w:rsid w:val="6D5034DD"/>
    <w:rsid w:val="6EDC6229"/>
    <w:rsid w:val="6F094457"/>
    <w:rsid w:val="6FB54E0E"/>
    <w:rsid w:val="70594605"/>
    <w:rsid w:val="70FA6FF2"/>
    <w:rsid w:val="718617B2"/>
    <w:rsid w:val="71E43378"/>
    <w:rsid w:val="72C83732"/>
    <w:rsid w:val="735E3BF1"/>
    <w:rsid w:val="76316184"/>
    <w:rsid w:val="77B260F7"/>
    <w:rsid w:val="7807496A"/>
    <w:rsid w:val="7862076C"/>
    <w:rsid w:val="79AE0873"/>
    <w:rsid w:val="7A9758F2"/>
    <w:rsid w:val="7EE7487D"/>
    <w:rsid w:val="7F00277F"/>
    <w:rsid w:val="7F834428"/>
    <w:rsid w:val="7F8550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autoRedefine/>
    <w:semiHidden/>
    <w:unhideWhenUsed/>
    <w:qFormat/>
    <w:uiPriority w:val="0"/>
    <w:pPr>
      <w:keepNext w:val="0"/>
      <w:keepLines w:val="0"/>
      <w:adjustRightInd w:val="0"/>
      <w:snapToGrid w:val="0"/>
      <w:spacing w:beforeLines="0" w:beforeAutospacing="0" w:afterLines="0" w:afterAutospacing="0" w:line="360" w:lineRule="auto"/>
      <w:outlineLvl w:val="3"/>
    </w:pPr>
    <w:rPr>
      <w:rFonts w:ascii="Calibri" w:hAnsi="Calibri" w:eastAsia="宋体" w:cs="Calibri"/>
      <w:b/>
      <w:sz w:val="24"/>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te Heading"/>
    <w:basedOn w:val="1"/>
    <w:next w:val="1"/>
    <w:autoRedefine/>
    <w:qFormat/>
    <w:uiPriority w:val="0"/>
    <w:pPr>
      <w:jc w:val="center"/>
    </w:pPr>
  </w:style>
  <w:style w:type="paragraph" w:styleId="5">
    <w:name w:val="Body Text"/>
    <w:basedOn w:val="1"/>
    <w:next w:val="4"/>
    <w:autoRedefine/>
    <w:qFormat/>
    <w:uiPriority w:val="0"/>
    <w:pPr>
      <w:spacing w:after="120"/>
    </w:pPr>
    <w:rPr>
      <w:kern w:val="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w:basedOn w:val="5"/>
    <w:autoRedefine/>
    <w:qFormat/>
    <w:uiPriority w:val="99"/>
    <w:pPr>
      <w:ind w:firstLine="420" w:firstLineChars="100"/>
    </w:pPr>
  </w:style>
  <w:style w:type="table" w:styleId="11">
    <w:name w:val="Table Grid"/>
    <w:basedOn w:val="10"/>
    <w:autoRedefine/>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FollowedHyperlink"/>
    <w:basedOn w:val="12"/>
    <w:autoRedefine/>
    <w:qFormat/>
    <w:uiPriority w:val="0"/>
    <w:rPr>
      <w:color w:val="000000"/>
      <w:u w:val="none"/>
    </w:rPr>
  </w:style>
  <w:style w:type="character" w:styleId="15">
    <w:name w:val="Emphasis"/>
    <w:basedOn w:val="12"/>
    <w:autoRedefine/>
    <w:qFormat/>
    <w:uiPriority w:val="0"/>
  </w:style>
  <w:style w:type="character" w:styleId="16">
    <w:name w:val="Hyperlink"/>
    <w:basedOn w:val="12"/>
    <w:autoRedefine/>
    <w:qFormat/>
    <w:uiPriority w:val="0"/>
    <w:rPr>
      <w:color w:val="000000"/>
      <w:u w:val="none"/>
    </w:rPr>
  </w:style>
  <w:style w:type="paragraph" w:customStyle="1" w:styleId="17">
    <w:name w:val="表头样式"/>
    <w:basedOn w:val="3"/>
    <w:next w:val="1"/>
    <w:autoRedefine/>
    <w:qFormat/>
    <w:uiPriority w:val="0"/>
    <w:pPr>
      <w:keepNext w:val="0"/>
      <w:keepLines w:val="0"/>
      <w:adjustRightInd w:val="0"/>
      <w:snapToGrid w:val="0"/>
      <w:spacing w:line="360" w:lineRule="auto"/>
      <w:jc w:val="center"/>
      <w:outlineLvl w:val="4"/>
    </w:pPr>
    <w:rPr>
      <w:rFonts w:ascii="Calibri" w:hAnsi="Calibri" w:eastAsia="宋体" w:cs="Calibri"/>
      <w:snapToGrid w:val="0"/>
      <w:kern w:val="0"/>
      <w:sz w:val="24"/>
    </w:rPr>
  </w:style>
  <w:style w:type="paragraph" w:customStyle="1" w:styleId="18">
    <w:name w:val="YJ正文"/>
    <w:basedOn w:val="1"/>
    <w:autoRedefine/>
    <w:qFormat/>
    <w:uiPriority w:val="0"/>
    <w:pPr>
      <w:adjustRightInd w:val="0"/>
      <w:snapToGrid w:val="0"/>
      <w:spacing w:line="360" w:lineRule="auto"/>
      <w:ind w:firstLine="420" w:firstLineChars="200"/>
    </w:pPr>
    <w:rPr>
      <w:rFonts w:ascii="Calibri" w:hAnsi="Calibri" w:eastAsia="宋体" w:cs="Calibri"/>
      <w:sz w:val="24"/>
    </w:rPr>
  </w:style>
  <w:style w:type="paragraph" w:customStyle="1" w:styleId="19">
    <w:name w:val="YJ表格内容"/>
    <w:next w:val="1"/>
    <w:autoRedefine/>
    <w:qFormat/>
    <w:uiPriority w:val="0"/>
    <w:pPr>
      <w:widowControl w:val="0"/>
      <w:adjustRightInd w:val="0"/>
      <w:snapToGrid w:val="0"/>
      <w:jc w:val="center"/>
    </w:pPr>
    <w:rPr>
      <w:rFonts w:ascii="Calibri" w:hAnsi="Calibri" w:eastAsia="宋体" w:cs="Calibri"/>
      <w:snapToGrid w:val="0"/>
      <w:sz w:val="21"/>
      <w:szCs w:val="21"/>
      <w:lang w:val="en-US" w:eastAsia="zh-CN" w:bidi="ar-SA"/>
    </w:rPr>
  </w:style>
  <w:style w:type="character" w:customStyle="1" w:styleId="20">
    <w:name w:val="lable"/>
    <w:basedOn w:val="12"/>
    <w:autoRedefine/>
    <w:qFormat/>
    <w:uiPriority w:val="0"/>
    <w:rPr>
      <w:sz w:val="24"/>
      <w:szCs w:val="24"/>
    </w:rPr>
  </w:style>
  <w:style w:type="character" w:customStyle="1" w:styleId="21">
    <w:name w:val="radio-btn"/>
    <w:basedOn w:val="12"/>
    <w:autoRedefine/>
    <w:qFormat/>
    <w:uiPriority w:val="0"/>
    <w:rPr>
      <w:sz w:val="24"/>
      <w:szCs w:val="24"/>
    </w:rPr>
  </w:style>
  <w:style w:type="character" w:customStyle="1" w:styleId="22">
    <w:name w:val="radio-btn1"/>
    <w:basedOn w:val="12"/>
    <w:autoRedefine/>
    <w:qFormat/>
    <w:uiPriority w:val="0"/>
    <w:rPr>
      <w:sz w:val="24"/>
      <w:szCs w:val="24"/>
    </w:rPr>
  </w:style>
  <w:style w:type="character" w:customStyle="1" w:styleId="23">
    <w:name w:val="radio-btn2"/>
    <w:basedOn w:val="12"/>
    <w:autoRedefine/>
    <w:qFormat/>
    <w:uiPriority w:val="0"/>
    <w:rPr>
      <w:sz w:val="24"/>
      <w:szCs w:val="24"/>
    </w:rPr>
  </w:style>
  <w:style w:type="character" w:customStyle="1" w:styleId="24">
    <w:name w:val="lishishuju"/>
    <w:basedOn w:val="12"/>
    <w:autoRedefine/>
    <w:qFormat/>
    <w:uiPriority w:val="0"/>
    <w:rPr>
      <w:b/>
      <w:bCs/>
      <w:color w:val="000052"/>
      <w:sz w:val="24"/>
      <w:szCs w:val="24"/>
      <w:bdr w:val="single" w:color="E3E3E3" w:sz="6" w:space="0"/>
    </w:rPr>
  </w:style>
  <w:style w:type="character" w:customStyle="1" w:styleId="25">
    <w:name w:val="cur1"/>
    <w:basedOn w:val="12"/>
    <w:autoRedefine/>
    <w:qFormat/>
    <w:uiPriority w:val="0"/>
    <w:rPr>
      <w:color w:val="FFFFFF"/>
      <w:shd w:val="clear" w:fill="2F6B98"/>
    </w:rPr>
  </w:style>
  <w:style w:type="character" w:customStyle="1" w:styleId="26">
    <w:name w:val="znspantitle"/>
    <w:basedOn w:val="12"/>
    <w:autoRedefine/>
    <w:qFormat/>
    <w:uiPriority w:val="0"/>
    <w:rPr>
      <w:b/>
      <w:bCs/>
      <w:color w:val="333333"/>
    </w:rPr>
  </w:style>
  <w:style w:type="character" w:customStyle="1" w:styleId="27">
    <w:name w:val="sp3"/>
    <w:basedOn w:val="12"/>
    <w:autoRedefine/>
    <w:qFormat/>
    <w:uiPriority w:val="0"/>
  </w:style>
  <w:style w:type="character" w:customStyle="1" w:styleId="28">
    <w:name w:val="sp1"/>
    <w:basedOn w:val="12"/>
    <w:autoRedefine/>
    <w:qFormat/>
    <w:uiPriority w:val="0"/>
  </w:style>
  <w:style w:type="character" w:customStyle="1" w:styleId="29">
    <w:name w:val="sp4"/>
    <w:basedOn w:val="12"/>
    <w:autoRedefine/>
    <w:qFormat/>
    <w:uiPriority w:val="0"/>
  </w:style>
  <w:style w:type="character" w:customStyle="1" w:styleId="30">
    <w:name w:val="sp41"/>
    <w:basedOn w:val="12"/>
    <w:autoRedefine/>
    <w:qFormat/>
    <w:uiPriority w:val="0"/>
  </w:style>
  <w:style w:type="character" w:customStyle="1" w:styleId="31">
    <w:name w:val="sp42"/>
    <w:basedOn w:val="12"/>
    <w:autoRedefine/>
    <w:qFormat/>
    <w:uiPriority w:val="0"/>
  </w:style>
  <w:style w:type="character" w:customStyle="1" w:styleId="32">
    <w:name w:val="first-child"/>
    <w:basedOn w:val="12"/>
    <w:autoRedefine/>
    <w:qFormat/>
    <w:uiPriority w:val="0"/>
  </w:style>
  <w:style w:type="character" w:customStyle="1" w:styleId="33">
    <w:name w:val="nurr"/>
    <w:basedOn w:val="12"/>
    <w:autoRedefine/>
    <w:qFormat/>
    <w:uiPriority w:val="0"/>
  </w:style>
  <w:style w:type="character" w:customStyle="1" w:styleId="34">
    <w:name w:val="sp22"/>
    <w:basedOn w:val="12"/>
    <w:autoRedefine/>
    <w:qFormat/>
    <w:uiPriority w:val="0"/>
  </w:style>
  <w:style w:type="character" w:customStyle="1" w:styleId="35">
    <w:name w:val="sp23"/>
    <w:basedOn w:val="12"/>
    <w:autoRedefine/>
    <w:qFormat/>
    <w:uiPriority w:val="0"/>
  </w:style>
  <w:style w:type="paragraph" w:customStyle="1" w:styleId="36">
    <w:name w:val="5文章正文"/>
    <w:basedOn w:val="1"/>
    <w:autoRedefine/>
    <w:qFormat/>
    <w:uiPriority w:val="0"/>
    <w:pPr>
      <w:spacing w:line="360" w:lineRule="auto"/>
      <w:ind w:firstLine="200"/>
    </w:pPr>
    <w:rPr>
      <w:kern w:val="1"/>
      <w:sz w:val="24"/>
    </w:rPr>
  </w:style>
  <w:style w:type="paragraph" w:customStyle="1" w:styleId="37">
    <w:name w:val="5文章(治)"/>
    <w:basedOn w:val="36"/>
    <w:qFormat/>
    <w:uiPriority w:val="0"/>
    <w:pPr>
      <w:widowControl w:val="0"/>
      <w:snapToGrid w:val="0"/>
      <w:spacing w:line="360" w:lineRule="auto"/>
      <w:ind w:firstLine="200" w:firstLineChars="200"/>
      <w:jc w:val="both"/>
    </w:pPr>
    <w:rPr>
      <w:rFonts w:ascii="Times New Roman" w:hAnsi="Times New Roman" w:eastAsia="宋体" w:cs="Times New Roman"/>
      <w:kern w:val="0"/>
      <w:sz w:val="24"/>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hs</Company>
  <Pages>7</Pages>
  <Words>3149</Words>
  <Characters>3509</Characters>
  <Lines>0</Lines>
  <Paragraphs>0</Paragraphs>
  <TotalTime>48</TotalTime>
  <ScaleCrop>false</ScaleCrop>
  <LinksUpToDate>false</LinksUpToDate>
  <CharactersWithSpaces>3529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2021-04-28T01:12:00Z</dcterms:created>
  <dc:creator>WPS_1619163745</dc:creator>
  <cp:lastModifiedBy>baby</cp:lastModifiedBy>
  <cp:lastPrinted>2025-12-19T06:57:18Z</cp:lastPrinted>
  <dcterms:modified xsi:type="dcterms:W3CDTF">2025-12-19T07:48:50Z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6D3A30059483457CA998C6CD28545667_13</vt:lpwstr>
  </property>
  <property fmtid="{D5CDD505-2E9C-101B-9397-08002B2CF9AE}" pid="4" name="KSOTemplateDocerSaveRecord">
    <vt:lpwstr>eyJoZGlkIjoiMGQxMGM2NWJlN2Q1ZTkzMWY3Y2U5YTgzOTNjODgxZTIiLCJ1c2VySWQiOiIxMTIzNjQ4OTY3In0=</vt:lpwstr>
  </property>
</Properties>
</file>