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C6186">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Autospacing="0" w:line="240" w:lineRule="auto"/>
        <w:ind w:left="0" w:leftChars="0" w:right="250" w:rightChars="119" w:firstLine="0" w:firstLineChars="0"/>
        <w:jc w:val="right"/>
        <w:textAlignment w:val="auto"/>
        <w:outlineLvl w:val="9"/>
        <w:rPr>
          <w:rFonts w:hint="eastAsia" w:ascii="仿宋" w:hAnsi="仿宋" w:eastAsia="仿宋" w:cs="仿宋"/>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榕环评〔2025〕66号</w:t>
      </w:r>
    </w:p>
    <w:p w14:paraId="01CA2416">
      <w:pPr>
        <w:keepNext w:val="0"/>
        <w:keepLines w:val="0"/>
        <w:pageBreakBefore w:val="0"/>
        <w:widowControl w:val="0"/>
        <w:suppressLineNumbers w:val="0"/>
        <w:kinsoku/>
        <w:wordWrap/>
        <w:overflowPunct/>
        <w:topLinePunct w:val="0"/>
        <w:autoSpaceDE/>
        <w:autoSpaceDN/>
        <w:bidi w:val="0"/>
        <w:adjustRightInd/>
        <w:snapToGrid w:val="0"/>
        <w:spacing w:before="80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2"/>
          <w:sz w:val="44"/>
          <w:szCs w:val="44"/>
          <w:highlight w:val="none"/>
          <w:lang w:val="en-US" w:eastAsia="zh-CN" w:bidi="ar"/>
        </w:rPr>
      </w:pPr>
      <w:r>
        <w:rPr>
          <w:rFonts w:hint="eastAsia" w:ascii="方正小标宋简体" w:hAnsi="方正小标宋简体" w:eastAsia="方正小标宋简体" w:cs="方正小标宋简体"/>
          <w:kern w:val="2"/>
          <w:sz w:val="44"/>
          <w:szCs w:val="44"/>
          <w:highlight w:val="none"/>
          <w:lang w:val="en-US" w:eastAsia="zh-CN" w:bidi="ar"/>
        </w:rPr>
        <w:t>福州市生态环境局</w:t>
      </w:r>
    </w:p>
    <w:p w14:paraId="0CA5B34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jc w:val="center"/>
        <w:textAlignment w:val="auto"/>
        <w:rPr>
          <w:rFonts w:hint="eastAsia"/>
          <w:highlight w:val="none"/>
          <w:lang w:val="en-US"/>
        </w:rPr>
      </w:pPr>
      <w:r>
        <w:rPr>
          <w:rFonts w:hint="eastAsia" w:ascii="方正小标宋简体" w:hAnsi="方正小标宋简体" w:eastAsia="方正小标宋简体" w:cs="方正小标宋简体"/>
          <w:kern w:val="2"/>
          <w:sz w:val="44"/>
          <w:szCs w:val="44"/>
          <w:highlight w:val="none"/>
          <w:lang w:val="en-US" w:eastAsia="zh-CN" w:bidi="ar"/>
        </w:rPr>
        <w:t>关于《万华化学（福建）码头有限公司低温罐区项目环境影响报告表》的审批意见</w:t>
      </w:r>
    </w:p>
    <w:p w14:paraId="73DD7A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jc w:val="both"/>
        <w:textAlignment w:val="auto"/>
        <w:rPr>
          <w:rFonts w:hint="eastAsia" w:ascii="仿宋_GB2312" w:hAnsi="Times New Roman" w:eastAsia="仿宋_GB2312" w:cs="仿宋_GB2312"/>
          <w:kern w:val="2"/>
          <w:sz w:val="32"/>
          <w:szCs w:val="32"/>
          <w:highlight w:val="none"/>
          <w:lang w:val="en-US" w:eastAsia="zh-CN" w:bidi="ar"/>
        </w:rPr>
      </w:pPr>
    </w:p>
    <w:p w14:paraId="01A2F1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jc w:val="both"/>
        <w:textAlignment w:val="auto"/>
        <w:rPr>
          <w:rFonts w:hint="eastAsia" w:ascii="仿宋_GB2312" w:eastAsia="仿宋_GB2312" w:cs="仿宋_GB2312"/>
          <w:sz w:val="32"/>
          <w:szCs w:val="32"/>
          <w:highlight w:val="none"/>
          <w:lang w:val="en-US"/>
        </w:rPr>
      </w:pPr>
      <w:r>
        <w:rPr>
          <w:rFonts w:hint="eastAsia" w:ascii="Times New Roman" w:hAnsi="Times New Roman" w:eastAsia="仿宋_GB2312" w:cs="Times New Roman"/>
          <w:color w:val="auto"/>
          <w:sz w:val="32"/>
          <w:szCs w:val="32"/>
          <w:u w:val="none"/>
          <w:lang w:eastAsia="zh-CN"/>
        </w:rPr>
        <w:t>万华化学（福建）码头有限公司</w:t>
      </w:r>
      <w:r>
        <w:rPr>
          <w:rFonts w:hint="eastAsia" w:ascii="仿宋_GB2312" w:hAnsi="Times New Roman" w:eastAsia="仿宋_GB2312" w:cs="仿宋_GB2312"/>
          <w:kern w:val="2"/>
          <w:sz w:val="32"/>
          <w:szCs w:val="32"/>
          <w:highlight w:val="none"/>
          <w:lang w:val="en-US" w:eastAsia="zh-CN" w:bidi="ar"/>
        </w:rPr>
        <w:t>：</w:t>
      </w:r>
    </w:p>
    <w:p w14:paraId="48F3AB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万华化学（福建）码头有限公司低温罐区项目环境影响报告表》(以下简称《报告表》)收悉。根据《中华人民共和国环境影响评价法》第22条等规定，并征求福州市福清生态环境局意见，现提出审批意见如下：</w:t>
      </w:r>
    </w:p>
    <w:p w14:paraId="1DA5DF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万华化学（福建）码头有限公司低温罐区项目</w:t>
      </w:r>
      <w:r>
        <w:rPr>
          <w:rFonts w:hint="eastAsia" w:ascii="仿宋_GB2312" w:hAnsi="Times New Roman" w:eastAsia="仿宋_GB2312" w:cs="宋体"/>
          <w:kern w:val="0"/>
          <w:sz w:val="32"/>
          <w:szCs w:val="32"/>
          <w:highlight w:val="none"/>
          <w:lang w:val="en-US" w:eastAsia="zh-CN" w:bidi="ar"/>
        </w:rPr>
        <w:t>位于福州市福清市江阴镇江阴港城经济区东部工业片区。建设内容主要为</w:t>
      </w:r>
      <w:r>
        <w:rPr>
          <w:rFonts w:hint="eastAsia" w:ascii="仿宋_GB2312" w:hAnsi="Times New Roman" w:eastAsia="仿宋_GB2312" w:cs="仿宋_GB2312"/>
          <w:color w:val="auto"/>
          <w:kern w:val="2"/>
          <w:sz w:val="32"/>
          <w:szCs w:val="32"/>
          <w:highlight w:val="none"/>
          <w:lang w:val="en-US" w:eastAsia="zh-CN" w:bidi="ar"/>
        </w:rPr>
        <w:t>：</w:t>
      </w:r>
      <w:r>
        <w:rPr>
          <w:rFonts w:hint="eastAsia" w:ascii="仿宋_GB2312" w:hAnsi="Times New Roman" w:eastAsia="仿宋_GB2312" w:cs="宋体"/>
          <w:color w:val="auto"/>
          <w:kern w:val="0"/>
          <w:sz w:val="32"/>
          <w:szCs w:val="32"/>
          <w:highlight w:val="none"/>
          <w:lang w:val="en-US" w:eastAsia="zh-CN" w:bidi="ar"/>
        </w:rPr>
        <w:t>建设1个160000m</w:t>
      </w:r>
      <w:r>
        <w:rPr>
          <w:rFonts w:hint="eastAsia" w:ascii="仿宋_GB2312" w:hAnsi="Times New Roman" w:eastAsia="仿宋_GB2312" w:cs="宋体"/>
          <w:color w:val="auto"/>
          <w:kern w:val="0"/>
          <w:sz w:val="32"/>
          <w:szCs w:val="32"/>
          <w:highlight w:val="none"/>
          <w:vertAlign w:val="superscript"/>
          <w:lang w:val="en-US" w:eastAsia="zh-CN" w:bidi="ar"/>
        </w:rPr>
        <w:t>3</w:t>
      </w:r>
      <w:r>
        <w:rPr>
          <w:rFonts w:hint="eastAsia" w:ascii="仿宋_GB2312" w:hAnsi="Times New Roman" w:eastAsia="仿宋_GB2312" w:cs="宋体"/>
          <w:color w:val="auto"/>
          <w:kern w:val="0"/>
          <w:sz w:val="32"/>
          <w:szCs w:val="32"/>
          <w:highlight w:val="none"/>
          <w:lang w:val="en-US" w:eastAsia="zh-CN" w:bidi="ar"/>
        </w:rPr>
        <w:t>低温乙烯储罐，3个220000m</w:t>
      </w:r>
      <w:r>
        <w:rPr>
          <w:rFonts w:hint="eastAsia" w:ascii="仿宋_GB2312" w:hAnsi="Times New Roman" w:eastAsia="仿宋_GB2312" w:cs="宋体"/>
          <w:color w:val="auto"/>
          <w:kern w:val="0"/>
          <w:sz w:val="32"/>
          <w:szCs w:val="32"/>
          <w:highlight w:val="none"/>
          <w:vertAlign w:val="superscript"/>
          <w:lang w:val="en-US" w:eastAsia="zh-CN" w:bidi="ar"/>
        </w:rPr>
        <w:t>3</w:t>
      </w:r>
      <w:r>
        <w:rPr>
          <w:rFonts w:hint="eastAsia" w:ascii="仿宋_GB2312" w:hAnsi="Times New Roman" w:eastAsia="仿宋_GB2312" w:cs="宋体"/>
          <w:color w:val="auto"/>
          <w:kern w:val="0"/>
          <w:sz w:val="32"/>
          <w:szCs w:val="32"/>
          <w:highlight w:val="none"/>
          <w:lang w:val="en-US" w:eastAsia="zh-CN" w:bidi="ar"/>
        </w:rPr>
        <w:t>低温乙烷储罐，压缩机及冷冻机厂房、气化器框架、生产调度楼、变配电室、消防站、厂内管廊等公辅配套设施(项目分三期建设)，年储存425.6万吨乙烷，70万吨乙烯，产压缩空气50000</w:t>
      </w:r>
      <w:r>
        <w:rPr>
          <w:rFonts w:hint="eastAsia" w:ascii="仿宋_GB2312" w:hAnsi="仿宋_GB2312" w:eastAsia="仿宋_GB2312" w:cs="仿宋_GB2312"/>
          <w:i w:val="0"/>
          <w:iCs w:val="0"/>
          <w:caps w:val="0"/>
          <w:color w:val="auto"/>
          <w:spacing w:val="0"/>
          <w:sz w:val="32"/>
          <w:szCs w:val="32"/>
          <w:shd w:val="clear" w:fill="FFFFFF"/>
        </w:rPr>
        <w:t>N</w:t>
      </w:r>
      <w:r>
        <w:rPr>
          <w:rFonts w:hint="eastAsia" w:ascii="仿宋_GB2312" w:hAnsi="Times New Roman" w:eastAsia="仿宋_GB2312" w:cs="宋体"/>
          <w:color w:val="auto"/>
          <w:kern w:val="0"/>
          <w:sz w:val="32"/>
          <w:szCs w:val="32"/>
          <w:highlight w:val="none"/>
          <w:lang w:val="en-US" w:eastAsia="zh-CN" w:bidi="ar"/>
        </w:rPr>
        <w:t>m</w:t>
      </w:r>
      <w:r>
        <w:rPr>
          <w:rFonts w:hint="eastAsia" w:ascii="仿宋_GB2312" w:hAnsi="Times New Roman" w:eastAsia="仿宋_GB2312" w:cs="宋体"/>
          <w:color w:val="auto"/>
          <w:kern w:val="0"/>
          <w:sz w:val="32"/>
          <w:szCs w:val="32"/>
          <w:highlight w:val="none"/>
          <w:vertAlign w:val="superscript"/>
          <w:lang w:val="en-US" w:eastAsia="zh-CN" w:bidi="ar"/>
        </w:rPr>
        <w:t>3</w:t>
      </w:r>
      <w:r>
        <w:rPr>
          <w:rFonts w:hint="eastAsia" w:ascii="仿宋_GB2312" w:hAnsi="仿宋_GB2312" w:eastAsia="仿宋_GB2312" w:cs="仿宋_GB2312"/>
          <w:i w:val="0"/>
          <w:iCs w:val="0"/>
          <w:caps w:val="0"/>
          <w:color w:val="auto"/>
          <w:spacing w:val="0"/>
          <w:sz w:val="32"/>
          <w:szCs w:val="32"/>
          <w:shd w:val="clear" w:fill="FFFFFF"/>
        </w:rPr>
        <w:t>/h</w:t>
      </w:r>
      <w:r>
        <w:rPr>
          <w:rFonts w:hint="eastAsia" w:ascii="仿宋_GB2312" w:hAnsi="Times New Roman" w:eastAsia="仿宋_GB2312" w:cs="宋体"/>
          <w:color w:val="auto"/>
          <w:kern w:val="0"/>
          <w:sz w:val="32"/>
          <w:szCs w:val="32"/>
          <w:highlight w:val="none"/>
          <w:lang w:val="en-US" w:eastAsia="zh-CN" w:bidi="ar"/>
        </w:rPr>
        <w:t>。</w:t>
      </w:r>
      <w:r>
        <w:rPr>
          <w:rFonts w:hint="eastAsia" w:ascii="仿宋_GB2312" w:hAnsi="Times New Roman" w:eastAsia="仿宋_GB2312" w:cs="仿宋_GB2312"/>
          <w:kern w:val="2"/>
          <w:sz w:val="32"/>
          <w:szCs w:val="32"/>
          <w:highlight w:val="none"/>
          <w:lang w:val="en-US" w:eastAsia="zh-CN" w:bidi="ar"/>
        </w:rPr>
        <w:t>根据《报告表》评价结论，该项</w:t>
      </w:r>
      <w:r>
        <w:rPr>
          <w:rFonts w:hint="eastAsia" w:ascii="仿宋_GB2312" w:hAnsi="Times New Roman" w:eastAsia="仿宋_GB2312" w:cs="宋体"/>
          <w:kern w:val="0"/>
          <w:sz w:val="32"/>
          <w:szCs w:val="32"/>
          <w:highlight w:val="none"/>
          <w:lang w:val="en-US" w:eastAsia="zh-CN" w:bidi="ar"/>
        </w:rPr>
        <w:t>目建设符合国家产业政策，符合生态环境分区管控要求，符合《福州江阴港城经济区化工新材料专区总体发展规划（2025-2030 年）》及其规划环评，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7C225ED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项目在施工和运营中应认真落实《报告表》提出的各项环境保护措施，并重点做好以下工作：</w:t>
      </w:r>
    </w:p>
    <w:p w14:paraId="41ABE0E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加强废气源头管控和全过程收集处理，提高项目装备配置和密闭化、连续化、自动化、管道化水平，根据各类废气特点，采取高效、可靠的针对性措施进行处理。项目废气主要为危险废物贮存间废气、排放动静密封处无组织废气等。危险废物贮存间废气经过密闭负压收集至活性炭塔吸附装置处理后由15m高的排气筒排放；你公司应建立并实施设备泄漏检测与修复（LDAR）体系，从源头减少废气的无组织排放。废气排放执行《工业企业挥发性有机物排放标准》（DB35/1782-2018）表1、《挥发性有机物无组织排放控制标准》（GB37822-2019）表A.1等标准的有关限值。</w:t>
      </w:r>
    </w:p>
    <w:p w14:paraId="002DBC38">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default" w:ascii="仿宋_GB2312" w:hAnsi="Times New Roman" w:eastAsia="仿宋_GB2312" w:cs="宋体"/>
          <w:kern w:val="0"/>
          <w:sz w:val="32"/>
          <w:szCs w:val="32"/>
          <w:highlight w:val="yellow"/>
          <w:lang w:val="en-US" w:eastAsia="zh-CN" w:bidi="ar"/>
        </w:rPr>
      </w:pPr>
      <w:r>
        <w:rPr>
          <w:rFonts w:hint="eastAsia" w:ascii="仿宋_GB2312" w:hAnsi="Times New Roman" w:eastAsia="仿宋_GB2312" w:cs="宋体"/>
          <w:kern w:val="0"/>
          <w:sz w:val="32"/>
          <w:szCs w:val="32"/>
          <w:highlight w:val="none"/>
          <w:lang w:val="en-US" w:eastAsia="zh-CN" w:bidi="ar"/>
        </w:rPr>
        <w:t>（二）按“清污分流、雨污分流”原则，建设完善厂区给排水管网。项目产生的废水主要有初期雨水、地面冲洗废水、循环冷却系统排水等生产废水及生活污水，生产废水由明管输送至隔油沉淀池，生活污水经化粪池处理，废水执行《污水综合排放标准》（GB8978-1996）表4三级标准、《污水排入城镇下水道水质标准》（GB/T31962-2015）B级标准、《石油化学工业污染物排放标准》（GB31571-2015）及其修改单及园区污水处理厂进水水质要求的最严格限值后，排入园区污水处理厂集中处理。</w:t>
      </w:r>
    </w:p>
    <w:p w14:paraId="67B501E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（三）优先选用低噪声设备，对高噪声污染源采取减振、隔声、降噪措施，</w:t>
      </w:r>
      <w:r>
        <w:rPr>
          <w:rFonts w:hint="default" w:ascii="仿宋_GB2312" w:hAnsi="Times New Roman" w:eastAsia="仿宋_GB2312" w:cs="宋体"/>
          <w:kern w:val="0"/>
          <w:sz w:val="32"/>
          <w:szCs w:val="32"/>
          <w:highlight w:val="none"/>
          <w:lang w:val="en-US" w:eastAsia="zh-CN" w:bidi="ar"/>
        </w:rPr>
        <w:t>厂界噪声</w:t>
      </w:r>
      <w:r>
        <w:rPr>
          <w:rFonts w:hint="eastAsia" w:ascii="仿宋_GB2312" w:hAnsi="Times New Roman" w:eastAsia="仿宋_GB2312" w:cs="宋体"/>
          <w:kern w:val="0"/>
          <w:sz w:val="32"/>
          <w:szCs w:val="32"/>
          <w:highlight w:val="none"/>
          <w:lang w:val="en-US" w:eastAsia="zh-CN" w:bidi="ar"/>
        </w:rPr>
        <w:t>执行</w:t>
      </w:r>
      <w:r>
        <w:rPr>
          <w:rFonts w:hint="default" w:ascii="仿宋_GB2312" w:hAnsi="Times New Roman" w:eastAsia="仿宋_GB2312" w:cs="宋体"/>
          <w:kern w:val="0"/>
          <w:sz w:val="32"/>
          <w:szCs w:val="32"/>
          <w:highlight w:val="none"/>
          <w:lang w:val="en-US" w:eastAsia="zh-CN" w:bidi="ar"/>
        </w:rPr>
        <w:t>《工业企业厂界环境噪声排放标准》</w:t>
      </w:r>
      <w:r>
        <w:rPr>
          <w:rFonts w:hint="eastAsia" w:ascii="仿宋_GB2312" w:hAnsi="Times New Roman" w:eastAsia="仿宋_GB2312" w:cs="宋体"/>
          <w:kern w:val="0"/>
          <w:sz w:val="32"/>
          <w:szCs w:val="32"/>
          <w:highlight w:val="none"/>
          <w:lang w:val="en-US" w:eastAsia="zh-CN" w:bidi="ar"/>
        </w:rPr>
        <w:t>（</w:t>
      </w:r>
      <w:r>
        <w:rPr>
          <w:rFonts w:hint="default" w:ascii="仿宋_GB2312" w:hAnsi="Times New Roman" w:eastAsia="仿宋_GB2312" w:cs="宋体"/>
          <w:kern w:val="0"/>
          <w:sz w:val="32"/>
          <w:szCs w:val="32"/>
          <w:highlight w:val="none"/>
          <w:lang w:val="en-US" w:eastAsia="zh-CN" w:bidi="ar"/>
        </w:rPr>
        <w:t>GB12348-2008</w:t>
      </w:r>
      <w:r>
        <w:rPr>
          <w:rFonts w:hint="eastAsia" w:ascii="仿宋_GB2312" w:hAnsi="Times New Roman" w:eastAsia="仿宋_GB2312" w:cs="宋体"/>
          <w:kern w:val="0"/>
          <w:sz w:val="32"/>
          <w:szCs w:val="32"/>
          <w:highlight w:val="none"/>
          <w:lang w:val="en-US" w:eastAsia="zh-CN" w:bidi="ar"/>
        </w:rPr>
        <w:t>）</w:t>
      </w:r>
      <w:r>
        <w:rPr>
          <w:rFonts w:hint="default" w:ascii="仿宋_GB2312" w:hAnsi="Times New Roman" w:eastAsia="仿宋_GB2312" w:cs="宋体"/>
          <w:kern w:val="0"/>
          <w:sz w:val="32"/>
          <w:szCs w:val="32"/>
          <w:highlight w:val="none"/>
          <w:lang w:val="en-US" w:eastAsia="zh-CN" w:bidi="ar"/>
        </w:rPr>
        <w:t>中表1</w:t>
      </w:r>
      <w:r>
        <w:rPr>
          <w:rFonts w:hint="eastAsia" w:ascii="仿宋_GB2312" w:hAnsi="Times New Roman" w:eastAsia="仿宋_GB2312" w:cs="宋体"/>
          <w:kern w:val="0"/>
          <w:sz w:val="32"/>
          <w:szCs w:val="32"/>
          <w:highlight w:val="none"/>
          <w:lang w:val="en-US" w:eastAsia="zh-CN" w:bidi="ar"/>
        </w:rPr>
        <w:t>中3</w:t>
      </w:r>
      <w:r>
        <w:rPr>
          <w:rFonts w:hint="default" w:ascii="仿宋_GB2312" w:hAnsi="Times New Roman" w:eastAsia="仿宋_GB2312" w:cs="宋体"/>
          <w:kern w:val="0"/>
          <w:sz w:val="32"/>
          <w:szCs w:val="32"/>
          <w:highlight w:val="none"/>
          <w:lang w:val="en-US" w:eastAsia="zh-CN" w:bidi="ar"/>
        </w:rPr>
        <w:t>类排放限值。</w:t>
      </w:r>
    </w:p>
    <w:p w14:paraId="41E8BD2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eastAsia" w:ascii="仿宋_GB2312" w:hAnsi="Times New Roman" w:eastAsia="仿宋_GB2312" w:cs="宋体"/>
          <w:color w:val="0000FF"/>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按照“资源化、减量化、无害化”处置原则，建立台账制度，规范设置固体废物暂存设施，项目产生的废冷冻机油、废机油、沾染矿物油的废弃包装物、废弃含油抹布、废弃劳保用品、废活性炭、隔油沉淀废油、隔油沉淀污泥等危险废物应委托有资质单位处置，危险废物贮存执行《危险废物贮存污染控制标准》（GB18597-2023）要求，转移管理执行《危险废物转移管理办法》（部令第23号）相关规定。</w:t>
      </w:r>
      <w:r>
        <w:rPr>
          <w:rFonts w:hint="eastAsia" w:ascii="仿宋_GB2312" w:hAnsi="仿宋_GB2312" w:eastAsia="仿宋_GB2312" w:cs="仿宋_GB2312"/>
          <w:color w:val="auto"/>
          <w:sz w:val="32"/>
          <w:szCs w:val="32"/>
          <w:lang w:val="en-US" w:eastAsia="zh-CN"/>
        </w:rPr>
        <w:t>项目产生的</w:t>
      </w:r>
      <w:r>
        <w:rPr>
          <w:rFonts w:hint="eastAsia" w:ascii="仿宋_GB2312" w:hAnsi="Times New Roman" w:eastAsia="仿宋_GB2312" w:cs="宋体"/>
          <w:kern w:val="0"/>
          <w:sz w:val="32"/>
          <w:szCs w:val="32"/>
          <w:highlight w:val="none"/>
          <w:lang w:val="en-US" w:eastAsia="zh-CN" w:bidi="ar"/>
        </w:rPr>
        <w:t>废滤芯、废分子筛暂存于一般固废库后由厂家收回</w:t>
      </w:r>
      <w:r>
        <w:rPr>
          <w:rFonts w:hint="eastAsia" w:ascii="仿宋_GB2312" w:hAnsi="Times New Roman" w:eastAsia="仿宋_GB2312" w:cs="宋体"/>
          <w:color w:val="auto"/>
          <w:kern w:val="0"/>
          <w:sz w:val="32"/>
          <w:szCs w:val="32"/>
          <w:highlight w:val="none"/>
          <w:lang w:val="en-US" w:eastAsia="zh-CN" w:bidi="ar"/>
        </w:rPr>
        <w:t>后处置。</w:t>
      </w:r>
    </w:p>
    <w:p w14:paraId="546D723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（五）土壤和地下水污染防治。按照《石油化工工程防渗技术规范》（GB/T 50934-2013）及《报告表》要求严格落实分区防渗措施，并加强防渗设施的日常维护。落实土壤和地下水监测制度，防止土壤及地下水污染。</w:t>
      </w:r>
    </w:p>
    <w:p w14:paraId="75F6060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六）环境风险防范。你公司应认真落实《报告表》中提出的风险防范措施要求，罐区采用自动化监控管理系统（DCS系统）、ESD紧急停车系统等实现实时监控，各储罐均应设置气体探测仪，设置固定式可燃气体报警仪和毒气报警仪，操作人员配备便携式气体报警器。罐区内除设置围堰、防火堤外，同时配备泡沫灭火系统等应急救援物资。输送管线设置紧急切断阀和泄漏收储设施，管廊下方两侧设围坎和雨污切换系统，并设置足够容积的事故应急池，确保污染消防水、污染雨水等各类污废水不排入外环境。制定突发环境事件应急预案，并定期开展应急演习；加强员工环保技能培训，健全各项环境管理制度，建立与园区突发环境事件应急预案对接及联动机制，确保风险事故得到有效控制，避免发生污染事件。</w:t>
      </w:r>
    </w:p>
    <w:p w14:paraId="720FFB0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cs="宋体" w:eastAsiaTheme="minorEastAsia"/>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七）强化施工期环境管理，合理安排施工作业，在大风天气避免进行水泥搅拌等容易产生扬尘的施工作业。施工场地应设置足够高度的施工围挡，施工废水不得外排。施工期粉尘（颗粒物）排放执行《大气污染物综合排放标准》（GB16297-1996）表2无组织排放监控浓度限值，施工期场界噪声执行《建筑施工场界环境噪声排放标准》（GB12523-2011）。</w:t>
      </w:r>
    </w:p>
    <w:p w14:paraId="0FF60E7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三、项目投产后新增化学需氧量排放总量≤5吨/年、氨氮排放总量≤0.5吨/年、VOCs≤8.09吨/年。项目投产前应按规定获取化学需氧量、氨氮总量指标。</w:t>
      </w:r>
    </w:p>
    <w:p w14:paraId="06AE66A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四、《报告表》批准后，如建设项目的性质、规模、地点、采用的生产工艺或者防治污染、防止生态破坏的措施发生重大变动的，应当依法重新报批项目环评。《报告表》自批准之日起满5年，项目方开工建设的，其环评文件应当依法报我局重新审核。</w:t>
      </w:r>
    </w:p>
    <w:p w14:paraId="37C4D17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五、项目建设应严格执行环境保护“三同时”制度，投入生产并产生实际排污行为之前，你司应认真梳理并确认各项环境保护措施落实，依法申领排污许可证并按证排污。项目投入生产后，应依法组织开展竣工环保自主验收。</w:t>
      </w:r>
    </w:p>
    <w:p w14:paraId="7724DFC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六、我局委托福州市生态环境保护综合执法支队开展该项目环保“三同时”监督检查，由福州市福清生态环境局负责该项目日常环保监督管理工作。</w:t>
      </w:r>
    </w:p>
    <w:p w14:paraId="12E2570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p>
    <w:p w14:paraId="7A361D3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left="0" w:right="0" w:firstLine="420" w:firstLineChars="200"/>
        <w:jc w:val="both"/>
        <w:textAlignment w:val="auto"/>
        <w:rPr>
          <w:rFonts w:hint="default" w:ascii="仿宋_GB2312" w:eastAsia="仿宋_GB2312" w:cs="仿宋_GB2312"/>
          <w:color w:val="0000FF"/>
          <w:highlight w:val="none"/>
          <w:lang w:val="en-US" w:eastAsia="zh-CN"/>
        </w:rPr>
      </w:pPr>
      <w:bookmarkStart w:id="0" w:name="_GoBack"/>
      <w:bookmarkEnd w:id="0"/>
    </w:p>
    <w:p w14:paraId="7F6AFF9B">
      <w:pPr>
        <w:pStyle w:val="5"/>
        <w:keepNext w:val="0"/>
        <w:keepLines w:val="0"/>
        <w:pageBreakBefore w:val="0"/>
        <w:widowControl/>
        <w:kinsoku/>
        <w:wordWrap/>
        <w:overflowPunct/>
        <w:topLinePunct w:val="0"/>
        <w:autoSpaceDE/>
        <w:autoSpaceDN/>
        <w:bidi w:val="0"/>
        <w:adjustRightInd/>
        <w:snapToGrid w:val="0"/>
        <w:spacing w:line="580" w:lineRule="exact"/>
        <w:ind w:right="1170" w:rightChars="557"/>
        <w:jc w:val="right"/>
        <w:textAlignment w:val="auto"/>
        <w:rPr>
          <w:rFonts w:hint="eastAsia" w:ascii="仿宋_GB2312" w:eastAsia="仿宋_GB2312" w:cs="仿宋_GB2312"/>
          <w:highlight w:val="none"/>
          <w:lang w:eastAsia="zh-CN"/>
        </w:rPr>
      </w:pPr>
    </w:p>
    <w:p w14:paraId="1743B426">
      <w:pPr>
        <w:pStyle w:val="5"/>
        <w:keepNext w:val="0"/>
        <w:keepLines w:val="0"/>
        <w:pageBreakBefore w:val="0"/>
        <w:widowControl/>
        <w:kinsoku/>
        <w:wordWrap/>
        <w:overflowPunct/>
        <w:topLinePunct w:val="0"/>
        <w:autoSpaceDE/>
        <w:autoSpaceDN/>
        <w:bidi w:val="0"/>
        <w:adjustRightInd/>
        <w:snapToGrid w:val="0"/>
        <w:spacing w:line="580" w:lineRule="exact"/>
        <w:ind w:right="1170" w:rightChars="557"/>
        <w:jc w:val="right"/>
        <w:textAlignment w:val="auto"/>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14:paraId="66436701">
      <w:pPr>
        <w:pStyle w:val="5"/>
        <w:keepNext w:val="0"/>
        <w:keepLines w:val="0"/>
        <w:pageBreakBefore w:val="0"/>
        <w:widowControl/>
        <w:kinsoku/>
        <w:wordWrap/>
        <w:overflowPunct/>
        <w:topLinePunct w:val="0"/>
        <w:autoSpaceDE/>
        <w:autoSpaceDN/>
        <w:bidi w:val="0"/>
        <w:adjustRightInd/>
        <w:snapToGrid w:val="0"/>
        <w:spacing w:line="580" w:lineRule="exact"/>
        <w:ind w:right="1170" w:rightChars="557"/>
        <w:jc w:val="right"/>
        <w:textAlignment w:val="auto"/>
        <w:rPr>
          <w:rFonts w:hint="eastAsia"/>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25</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12</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1</w:t>
      </w:r>
      <w:r>
        <w:rPr>
          <w:rFonts w:hint="eastAsia" w:ascii="仿宋_GB2312" w:eastAsia="仿宋_GB2312" w:cs="仿宋_GB2312"/>
          <w:highlight w:val="none"/>
          <w:lang w:eastAsia="zh-CN"/>
        </w:rPr>
        <w:t>日</w:t>
      </w:r>
    </w:p>
    <w:p w14:paraId="0BCDF1C4">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10"/>
        <w:tblpPr w:leftFromText="180" w:rightFromText="180" w:vertAnchor="text" w:horzAnchor="page" w:tblpX="1712" w:tblpY="4584"/>
        <w:tblOverlap w:val="never"/>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1B3E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649980D0">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1481EC60">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0"/>
                <w:highlight w:val="none"/>
                <w:lang w:val="en-US" w:eastAsia="zh-CN" w:bidi="ar"/>
              </w:rPr>
              <w:t>福州市生态环境保护综合执法支队，福州市福清生态环境局，福建省环境保护设计院有限公司。</w:t>
            </w:r>
          </w:p>
        </w:tc>
      </w:tr>
      <w:tr w14:paraId="1FBF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35A9964B">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390B9230">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2025年12月1日印发</w:t>
            </w:r>
          </w:p>
        </w:tc>
      </w:tr>
      <w:tr w14:paraId="769A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5" w:type="dxa"/>
            <w:tcBorders>
              <w:top w:val="nil"/>
              <w:left w:val="nil"/>
              <w:bottom w:val="nil"/>
              <w:right w:val="nil"/>
            </w:tcBorders>
            <w:shd w:val="clear" w:color="auto" w:fill="auto"/>
            <w:vAlign w:val="center"/>
          </w:tcPr>
          <w:p w14:paraId="36A1CB34">
            <w:pPr>
              <w:rPr>
                <w:rFonts w:hint="eastAsia" w:ascii="宋体"/>
                <w:sz w:val="24"/>
                <w:szCs w:val="24"/>
                <w:highlight w:val="none"/>
              </w:rPr>
            </w:pPr>
          </w:p>
        </w:tc>
        <w:tc>
          <w:tcPr>
            <w:tcW w:w="3885" w:type="dxa"/>
            <w:tcBorders>
              <w:top w:val="nil"/>
              <w:left w:val="nil"/>
              <w:bottom w:val="nil"/>
              <w:right w:val="nil"/>
            </w:tcBorders>
            <w:shd w:val="clear" w:color="auto" w:fill="auto"/>
            <w:vAlign w:val="center"/>
          </w:tcPr>
          <w:p w14:paraId="5FD23141">
            <w:pPr>
              <w:rPr>
                <w:rFonts w:hint="eastAsia" w:ascii="宋体"/>
                <w:sz w:val="24"/>
                <w:szCs w:val="24"/>
                <w:highlight w:val="none"/>
              </w:rPr>
            </w:pPr>
          </w:p>
        </w:tc>
        <w:tc>
          <w:tcPr>
            <w:tcW w:w="3675" w:type="dxa"/>
            <w:tcBorders>
              <w:top w:val="nil"/>
              <w:left w:val="nil"/>
              <w:bottom w:val="nil"/>
              <w:right w:val="nil"/>
            </w:tcBorders>
            <w:shd w:val="clear" w:color="auto" w:fill="auto"/>
            <w:vAlign w:val="center"/>
          </w:tcPr>
          <w:p w14:paraId="41A38484">
            <w:pPr>
              <w:rPr>
                <w:rFonts w:hint="eastAsia" w:ascii="宋体"/>
                <w:sz w:val="24"/>
                <w:szCs w:val="24"/>
                <w:highlight w:val="none"/>
              </w:rPr>
            </w:pPr>
          </w:p>
        </w:tc>
      </w:tr>
    </w:tbl>
    <w:p w14:paraId="48295FFE">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30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CE73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ACE73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0D055EE"/>
    <w:rsid w:val="01DD6FC1"/>
    <w:rsid w:val="04B97894"/>
    <w:rsid w:val="06412598"/>
    <w:rsid w:val="065C1D7B"/>
    <w:rsid w:val="076B63F8"/>
    <w:rsid w:val="07B76A03"/>
    <w:rsid w:val="08877123"/>
    <w:rsid w:val="09194B83"/>
    <w:rsid w:val="097912D2"/>
    <w:rsid w:val="0A0259D4"/>
    <w:rsid w:val="0A537496"/>
    <w:rsid w:val="0A7B2C42"/>
    <w:rsid w:val="0CFC23E2"/>
    <w:rsid w:val="0D9C4648"/>
    <w:rsid w:val="0EBC0E2F"/>
    <w:rsid w:val="0FBE4740"/>
    <w:rsid w:val="121E2D9F"/>
    <w:rsid w:val="123E696C"/>
    <w:rsid w:val="12D0457D"/>
    <w:rsid w:val="12D23BBF"/>
    <w:rsid w:val="1339568F"/>
    <w:rsid w:val="14E4368B"/>
    <w:rsid w:val="15B63938"/>
    <w:rsid w:val="15DF1C70"/>
    <w:rsid w:val="16C049E6"/>
    <w:rsid w:val="17376763"/>
    <w:rsid w:val="17C02571"/>
    <w:rsid w:val="185C0C0F"/>
    <w:rsid w:val="191772E7"/>
    <w:rsid w:val="19F13A89"/>
    <w:rsid w:val="1A07082D"/>
    <w:rsid w:val="1A2D6D57"/>
    <w:rsid w:val="20835F2C"/>
    <w:rsid w:val="208F6B19"/>
    <w:rsid w:val="213F3844"/>
    <w:rsid w:val="219278A5"/>
    <w:rsid w:val="220A48B1"/>
    <w:rsid w:val="23A338CC"/>
    <w:rsid w:val="23D1267C"/>
    <w:rsid w:val="23ED5533"/>
    <w:rsid w:val="240110B0"/>
    <w:rsid w:val="264F7B2D"/>
    <w:rsid w:val="26F17F87"/>
    <w:rsid w:val="26FA4A88"/>
    <w:rsid w:val="28A86FC8"/>
    <w:rsid w:val="28BF746D"/>
    <w:rsid w:val="29E73BDF"/>
    <w:rsid w:val="2A021261"/>
    <w:rsid w:val="2A7F762B"/>
    <w:rsid w:val="2BB6651B"/>
    <w:rsid w:val="2BDE7E49"/>
    <w:rsid w:val="2C7B0035"/>
    <w:rsid w:val="2CAD0908"/>
    <w:rsid w:val="2CB668AB"/>
    <w:rsid w:val="2E214D74"/>
    <w:rsid w:val="2F652F3C"/>
    <w:rsid w:val="30096A34"/>
    <w:rsid w:val="306223AB"/>
    <w:rsid w:val="31DF7D29"/>
    <w:rsid w:val="32432891"/>
    <w:rsid w:val="3428200A"/>
    <w:rsid w:val="344B15E7"/>
    <w:rsid w:val="34565CE1"/>
    <w:rsid w:val="34B92A27"/>
    <w:rsid w:val="34E11855"/>
    <w:rsid w:val="353A30CF"/>
    <w:rsid w:val="38EE2201"/>
    <w:rsid w:val="396A64FB"/>
    <w:rsid w:val="396B7625"/>
    <w:rsid w:val="3A2D7BAD"/>
    <w:rsid w:val="3B0F3019"/>
    <w:rsid w:val="3B60789B"/>
    <w:rsid w:val="3C461732"/>
    <w:rsid w:val="3DB945F5"/>
    <w:rsid w:val="3F542FD5"/>
    <w:rsid w:val="3FD71583"/>
    <w:rsid w:val="402C102B"/>
    <w:rsid w:val="41976E73"/>
    <w:rsid w:val="438B4B5B"/>
    <w:rsid w:val="43CA10AF"/>
    <w:rsid w:val="45314B84"/>
    <w:rsid w:val="45F92FCA"/>
    <w:rsid w:val="461F4753"/>
    <w:rsid w:val="47C411B6"/>
    <w:rsid w:val="49014440"/>
    <w:rsid w:val="49641AB4"/>
    <w:rsid w:val="4A036A2B"/>
    <w:rsid w:val="4A69668E"/>
    <w:rsid w:val="4A810DC1"/>
    <w:rsid w:val="4B2126A9"/>
    <w:rsid w:val="4B456184"/>
    <w:rsid w:val="4B997BD4"/>
    <w:rsid w:val="4BC03622"/>
    <w:rsid w:val="4C1E048A"/>
    <w:rsid w:val="4C547C35"/>
    <w:rsid w:val="4CD339FE"/>
    <w:rsid w:val="4DB67CDD"/>
    <w:rsid w:val="4E576091"/>
    <w:rsid w:val="4ED41923"/>
    <w:rsid w:val="50C81EE2"/>
    <w:rsid w:val="5328504E"/>
    <w:rsid w:val="53325C92"/>
    <w:rsid w:val="533A7710"/>
    <w:rsid w:val="55473069"/>
    <w:rsid w:val="56DD30D8"/>
    <w:rsid w:val="56E43FD0"/>
    <w:rsid w:val="5773682D"/>
    <w:rsid w:val="57DF4FEB"/>
    <w:rsid w:val="58E6131F"/>
    <w:rsid w:val="59251C1A"/>
    <w:rsid w:val="59790483"/>
    <w:rsid w:val="59892D82"/>
    <w:rsid w:val="5A626A26"/>
    <w:rsid w:val="5A7A005C"/>
    <w:rsid w:val="5AB30E80"/>
    <w:rsid w:val="5BC855A2"/>
    <w:rsid w:val="5CB956CE"/>
    <w:rsid w:val="5D2B4EE9"/>
    <w:rsid w:val="5D8466D6"/>
    <w:rsid w:val="5DF8536F"/>
    <w:rsid w:val="60180CAA"/>
    <w:rsid w:val="61464082"/>
    <w:rsid w:val="61AC3705"/>
    <w:rsid w:val="61BD2347"/>
    <w:rsid w:val="63F47B11"/>
    <w:rsid w:val="64856EDB"/>
    <w:rsid w:val="674F436D"/>
    <w:rsid w:val="68E81924"/>
    <w:rsid w:val="699653D2"/>
    <w:rsid w:val="69AA484A"/>
    <w:rsid w:val="6BA34C13"/>
    <w:rsid w:val="6C2A2F12"/>
    <w:rsid w:val="6C2E3E36"/>
    <w:rsid w:val="6CA5599E"/>
    <w:rsid w:val="6CC830E5"/>
    <w:rsid w:val="6D0A06B5"/>
    <w:rsid w:val="6D8945FB"/>
    <w:rsid w:val="6E6E2E44"/>
    <w:rsid w:val="6E8B3F62"/>
    <w:rsid w:val="6F460731"/>
    <w:rsid w:val="706B42B2"/>
    <w:rsid w:val="731146F1"/>
    <w:rsid w:val="747D1E1E"/>
    <w:rsid w:val="747F4DDA"/>
    <w:rsid w:val="749C56FE"/>
    <w:rsid w:val="758F2C99"/>
    <w:rsid w:val="75B546C3"/>
    <w:rsid w:val="75F77103"/>
    <w:rsid w:val="76CA152F"/>
    <w:rsid w:val="77304AEA"/>
    <w:rsid w:val="783B4C00"/>
    <w:rsid w:val="78940811"/>
    <w:rsid w:val="78BA7585"/>
    <w:rsid w:val="79737B05"/>
    <w:rsid w:val="7CC80452"/>
    <w:rsid w:val="7CDA4005"/>
    <w:rsid w:val="7D1F6674"/>
    <w:rsid w:val="7D987452"/>
    <w:rsid w:val="7DC97B37"/>
    <w:rsid w:val="7F2E1CFF"/>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spacing w:after="0" w:line="420" w:lineRule="exact"/>
      <w:ind w:left="0" w:leftChars="0" w:firstLine="420"/>
    </w:pPr>
    <w:rPr>
      <w:rFonts w:ascii="仿宋_GB2312" w:eastAsia="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5文章(治) Char"/>
    <w:basedOn w:val="12"/>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2239</Words>
  <Characters>2432</Characters>
  <Lines>0</Lines>
  <Paragraphs>0</Paragraphs>
  <TotalTime>47</TotalTime>
  <ScaleCrop>false</ScaleCrop>
  <LinksUpToDate>false</LinksUpToDate>
  <CharactersWithSpaces>2437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月见函灯</cp:lastModifiedBy>
  <cp:lastPrinted>2024-10-21T03:56:00Z</cp:lastPrinted>
  <dcterms:modified xsi:type="dcterms:W3CDTF">2025-12-01T06:31:49Z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C5386EFC767C4F5F93316EB2D5012FFF_13</vt:lpwstr>
  </property>
  <property fmtid="{D5CDD505-2E9C-101B-9397-08002B2CF9AE}" pid="4" name="KSOTemplateDocerSaveRecord">
    <vt:lpwstr>eyJoZGlkIjoiMDkxNDM5NTI3YTI2MzU0NTA3MzliODM2N2FlYTc2NjYiLCJ1c2VySWQiOiI0MjM3NjMwNzUifQ==</vt:lpwstr>
  </property>
</Properties>
</file>