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ABE4D5">
      <w:pPr>
        <w:keepNext w:val="0"/>
        <w:keepLines w:val="0"/>
        <w:pageBreakBefore w:val="0"/>
        <w:widowControl w:val="0"/>
        <w:suppressLineNumbers w:val="0"/>
        <w:kinsoku/>
        <w:wordWrap w:val="0"/>
        <w:overflowPunct/>
        <w:topLinePunct w:val="0"/>
        <w:autoSpaceDE/>
        <w:autoSpaceDN/>
        <w:bidi w:val="0"/>
        <w:adjustRightInd/>
        <w:snapToGrid w:val="0"/>
        <w:spacing w:before="1400" w:beforeAutospacing="0" w:after="313" w:afterLines="100" w:afterAutospacing="0" w:line="240" w:lineRule="auto"/>
        <w:ind w:left="0" w:leftChars="0" w:right="250" w:rightChars="119" w:firstLine="0" w:firstLineChars="0"/>
        <w:jc w:val="right"/>
        <w:textAlignment w:val="auto"/>
        <w:outlineLvl w:val="9"/>
        <w:rPr>
          <w:rFonts w:hint="eastAsia" w:ascii="仿宋_GB2312" w:hAnsi="仿宋_GB2312" w:eastAsia="仿宋_GB2312" w:cs="仿宋_GB2312"/>
          <w:kern w:val="2"/>
          <w:sz w:val="32"/>
          <w:szCs w:val="32"/>
          <w:highlight w:val="none"/>
          <w:lang w:val="en-US" w:eastAsia="zh-CN" w:bidi="ar"/>
        </w:rPr>
      </w:pPr>
      <w:bookmarkStart w:id="0" w:name="_GoBack"/>
      <w:r>
        <w:rPr>
          <w:rFonts w:hint="eastAsia" w:ascii="仿宋_GB2312" w:hAnsi="仿宋_GB2312" w:eastAsia="仿宋_GB2312" w:cs="仿宋_GB2312"/>
          <w:kern w:val="2"/>
          <w:sz w:val="32"/>
          <w:szCs w:val="32"/>
          <w:highlight w:val="none"/>
          <w:lang w:val="en-US" w:eastAsia="zh-CN" w:bidi="ar"/>
        </w:rPr>
        <w:t>榕环评</w:t>
      </w:r>
      <w:bookmarkEnd w:id="0"/>
      <w:r>
        <w:rPr>
          <w:rFonts w:hint="eastAsia" w:ascii="仿宋_GB2312" w:hAnsi="仿宋_GB2312" w:eastAsia="仿宋_GB2312" w:cs="仿宋_GB2312"/>
          <w:kern w:val="2"/>
          <w:sz w:val="32"/>
          <w:szCs w:val="32"/>
          <w:highlight w:val="none"/>
          <w:lang w:val="en-US" w:eastAsia="zh-CN" w:bidi="ar"/>
        </w:rPr>
        <w:t>〔2025〕67号</w:t>
      </w:r>
    </w:p>
    <w:p w14:paraId="21F8DD8E">
      <w:pPr>
        <w:keepNext w:val="0"/>
        <w:keepLines w:val="0"/>
        <w:pageBreakBefore w:val="0"/>
        <w:widowControl w:val="0"/>
        <w:suppressLineNumbers w:val="0"/>
        <w:kinsoku/>
        <w:wordWrap/>
        <w:overflowPunct/>
        <w:topLinePunct w:val="0"/>
        <w:autoSpaceDE/>
        <w:autoSpaceDN/>
        <w:bidi w:val="0"/>
        <w:adjustRightInd/>
        <w:snapToGrid w:val="0"/>
        <w:spacing w:beforeAutospacing="0" w:after="313" w:afterLines="100" w:afterAutospacing="0"/>
        <w:ind w:left="0" w:right="0"/>
        <w:jc w:val="center"/>
        <w:textAlignment w:val="auto"/>
        <w:rPr>
          <w:rFonts w:hint="eastAsia" w:ascii="长城小标宋体" w:hAnsi="长城小标宋体" w:eastAsia="长城小标宋体" w:cs="长城小标宋体"/>
          <w:kern w:val="2"/>
          <w:sz w:val="40"/>
          <w:szCs w:val="40"/>
          <w:highlight w:val="none"/>
          <w:lang w:val="en-US" w:eastAsia="zh-CN" w:bidi="ar"/>
        </w:rPr>
      </w:pPr>
      <w:r>
        <w:rPr>
          <w:rFonts w:hint="eastAsia" w:ascii="长城小标宋体" w:hAnsi="长城小标宋体" w:eastAsia="长城小标宋体" w:cs="长城小标宋体"/>
          <w:kern w:val="2"/>
          <w:sz w:val="40"/>
          <w:szCs w:val="40"/>
          <w:highlight w:val="none"/>
          <w:lang w:val="en-US" w:eastAsia="zh-CN" w:bidi="ar"/>
        </w:rPr>
        <w:t>福州市生态环境局关于福州市江边横二路道路工程环境影响报告表的审批意见</w:t>
      </w:r>
    </w:p>
    <w:p w14:paraId="5CD250E4">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right="0"/>
        <w:jc w:val="center"/>
        <w:textAlignment w:val="auto"/>
        <w:rPr>
          <w:rFonts w:hint="eastAsia" w:ascii="长城小标宋体" w:hAnsi="长城小标宋体" w:eastAsia="长城小标宋体" w:cs="长城小标宋体"/>
          <w:kern w:val="2"/>
          <w:sz w:val="40"/>
          <w:szCs w:val="40"/>
          <w:highlight w:val="none"/>
          <w:lang w:val="en-US" w:eastAsia="zh-CN" w:bidi="ar"/>
        </w:rPr>
      </w:pPr>
    </w:p>
    <w:p w14:paraId="0EA62D56">
      <w:pPr>
        <w:keepNext w:val="0"/>
        <w:keepLines w:val="0"/>
        <w:widowControl w:val="0"/>
        <w:suppressLineNumbers w:val="0"/>
        <w:snapToGrid w:val="0"/>
        <w:spacing w:before="0" w:beforeAutospacing="0" w:after="0" w:afterAutospacing="0" w:line="560" w:lineRule="exact"/>
        <w:ind w:left="0" w:right="0"/>
        <w:jc w:val="both"/>
        <w:rPr>
          <w:rFonts w:hint="eastAsia" w:ascii="仿宋_GB2312" w:eastAsia="仿宋_GB2312" w:cs="仿宋_GB2312"/>
          <w:sz w:val="32"/>
          <w:szCs w:val="32"/>
          <w:highlight w:val="none"/>
          <w:lang w:val="en-US"/>
        </w:rPr>
      </w:pPr>
      <w:r>
        <w:rPr>
          <w:rFonts w:hint="eastAsia" w:ascii="仿宋_GB2312" w:hAnsi="Times New Roman" w:eastAsia="仿宋_GB2312" w:cs="仿宋_GB2312"/>
          <w:kern w:val="2"/>
          <w:sz w:val="32"/>
          <w:szCs w:val="32"/>
          <w:highlight w:val="none"/>
          <w:lang w:val="en-US" w:eastAsia="zh-CN" w:bidi="ar"/>
        </w:rPr>
        <w:t>福州市市政建设开发有限公司：</w:t>
      </w:r>
    </w:p>
    <w:p w14:paraId="2DAC145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24" w:firstLineChars="195"/>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你司报送的《福州市江边横二路道路工程环境影响报告表》(以下简称《报告表》)收悉。根据《环境影响评价法》第二十二条等规定，并征求福州市仓山生态环境局意见，现提出审批意见如下：</w:t>
      </w:r>
    </w:p>
    <w:p w14:paraId="1447153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highlight w:val="none"/>
          <w:lang w:val="en-US" w:eastAsia="zh-CN"/>
        </w:rPr>
      </w:pPr>
      <w:r>
        <w:rPr>
          <w:rFonts w:hint="eastAsia" w:ascii="仿宋_GB2312" w:hAnsi="Times New Roman" w:eastAsia="仿宋_GB2312" w:cs="宋体"/>
          <w:kern w:val="0"/>
          <w:sz w:val="32"/>
          <w:szCs w:val="32"/>
          <w:highlight w:val="none"/>
          <w:lang w:val="en-US" w:eastAsia="zh-CN" w:bidi="ar"/>
        </w:rPr>
        <w:t>一、福州市江边横二路道路工程位于福州市仓山区江边横二路</w:t>
      </w:r>
      <w:r>
        <w:rPr>
          <w:rFonts w:hint="eastAsia" w:ascii="仿宋_GB2312" w:hAnsi="Times New Roman" w:eastAsia="仿宋_GB2312" w:cs="宋体"/>
          <w:b w:val="0"/>
          <w:bCs w:val="0"/>
          <w:kern w:val="0"/>
          <w:sz w:val="32"/>
          <w:szCs w:val="32"/>
          <w:highlight w:val="none"/>
          <w:lang w:val="en-US" w:eastAsia="zh-CN" w:bidi="ar"/>
        </w:rPr>
        <w:t>，主要建设内容：道路、桥梁、给排水、电气照明、电力排管、绿化、交通及安全设施等。道路工程起点接纵一路，终点止于浦A路，长311m，宽18m，道路等级为城市支路</w:t>
      </w:r>
      <w:r>
        <w:rPr>
          <w:rFonts w:hint="eastAsia" w:ascii="仿宋_GB2312" w:hAnsi="Times New Roman" w:eastAsia="仿宋_GB2312" w:cs="宋体"/>
          <w:kern w:val="0"/>
          <w:sz w:val="32"/>
          <w:szCs w:val="32"/>
          <w:highlight w:val="none"/>
          <w:lang w:val="en-US" w:eastAsia="zh-CN" w:bidi="ar"/>
        </w:rPr>
        <w:t>。根据《报告表》评价结论，该项目</w:t>
      </w:r>
      <w:r>
        <w:rPr>
          <w:rFonts w:hint="eastAsia"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符合生态环境保护相关法律法规和政策，符合《福州市“十四五”综合交通运输发展专项规划》及福州市生态环境分区管控要求</w:t>
      </w:r>
      <w:r>
        <w:rPr>
          <w:rFonts w:hint="eastAsia" w:ascii="仿宋_GB2312" w:hAnsi="Times New Roman" w:eastAsia="仿宋_GB2312" w:cs="宋体"/>
          <w:kern w:val="0"/>
          <w:sz w:val="32"/>
          <w:szCs w:val="32"/>
          <w:highlight w:val="none"/>
          <w:lang w:val="en-US" w:eastAsia="zh-CN" w:bidi="ar"/>
        </w:rPr>
        <w:t>。在严格落实《报告表》提出的各项生态环境保护和环境风险防控措施，加强环境管理的前提下，从环境影响角度分析，项目建设可行。我局原则同意《报告表》中所列建设项目的性质、规模、地点、工艺和拟采取的环境保护对策措施。</w:t>
      </w:r>
    </w:p>
    <w:p w14:paraId="73A752EF">
      <w:pPr>
        <w:keepNext w:val="0"/>
        <w:keepLines w:val="0"/>
        <w:pageBreakBefore w:val="0"/>
        <w:widowControl w:val="0"/>
        <w:numPr>
          <w:ilvl w:val="0"/>
          <w:numId w:val="1"/>
        </w:numPr>
        <w:suppressLineNumbers w:val="0"/>
        <w:kinsoku/>
        <w:wordWrap/>
        <w:overflowPunct/>
        <w:topLinePunct w:val="0"/>
        <w:autoSpaceDE/>
        <w:autoSpaceDN/>
        <w:bidi w:val="0"/>
        <w:snapToGrid w:val="0"/>
        <w:spacing w:before="0" w:beforeAutospacing="0" w:after="0" w:afterAutospacing="0" w:line="560" w:lineRule="exact"/>
        <w:ind w:left="0" w:right="0" w:firstLine="624" w:firstLineChars="195"/>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项目在施工和运营中应认真落实《报告表》提出的各项环境保护措施，并重点做好以下工作：</w:t>
      </w:r>
    </w:p>
    <w:p w14:paraId="63DF2E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宋体"/>
          <w:color w:val="0000FF"/>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一）噪声污染防治。合理布局施工现场、安排施工作业时间，采取必要的措施防止施工噪声对沿线声环境敏感目标的影响。运营期应加强对沿线声环境敏感目标的噪声监测，预留资金，根据跟踪监测结果适时增补、完善噪声防治措施，确保声环境质量达到《声环境质量标准》（GB3096-2008）表1中2类环境噪声限值。</w:t>
      </w:r>
    </w:p>
    <w:p w14:paraId="5F2B42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（二）强化施工期环境管理，不得擅自扩大临时用地面积。</w:t>
      </w:r>
      <w:r>
        <w:rPr>
          <w:rFonts w:hint="eastAsia" w:ascii="仿宋_GB2312" w:eastAsia="仿宋_GB2312"/>
          <w:bCs/>
          <w:sz w:val="32"/>
          <w:szCs w:val="32"/>
          <w:highlight w:val="none"/>
          <w:lang w:eastAsia="zh-CN"/>
        </w:rPr>
        <w:t>易扬尘作业应采取湿法</w:t>
      </w:r>
      <w:r>
        <w:rPr>
          <w:rFonts w:hint="eastAsia" w:ascii="仿宋_GB2312" w:eastAsia="仿宋_GB2312"/>
          <w:bCs/>
          <w:sz w:val="32"/>
          <w:szCs w:val="32"/>
          <w:highlight w:val="none"/>
          <w:lang w:val="en-US" w:eastAsia="zh-CN"/>
        </w:rPr>
        <w:t>,</w:t>
      </w:r>
      <w:r>
        <w:rPr>
          <w:rFonts w:hint="eastAsia" w:ascii="仿宋_GB2312" w:hAnsi="Times New Roman" w:eastAsia="仿宋_GB2312" w:cs="宋体"/>
          <w:kern w:val="0"/>
          <w:sz w:val="32"/>
          <w:szCs w:val="32"/>
          <w:highlight w:val="none"/>
          <w:lang w:val="en-US" w:eastAsia="zh-CN" w:bidi="ar"/>
        </w:rPr>
        <w:t>施工场地应通过设置围挡、喷淋、道路洒水降尘等措施减少扬尘影响。</w:t>
      </w:r>
      <w:r>
        <w:rPr>
          <w:rFonts w:hint="eastAsia" w:ascii="仿宋_GB2312" w:eastAsia="仿宋_GB2312"/>
          <w:bCs/>
          <w:sz w:val="32"/>
          <w:szCs w:val="32"/>
          <w:highlight w:val="none"/>
        </w:rPr>
        <w:t>严格控制施工作业时间</w:t>
      </w:r>
      <w:r>
        <w:rPr>
          <w:rFonts w:hint="eastAsia" w:ascii="仿宋_GB2312" w:eastAsia="仿宋_GB2312"/>
          <w:bCs/>
          <w:sz w:val="32"/>
          <w:szCs w:val="32"/>
          <w:highlight w:val="none"/>
          <w:lang w:eastAsia="zh-CN"/>
        </w:rPr>
        <w:t>，减少对周边环境的影</w:t>
      </w:r>
      <w:r>
        <w:rPr>
          <w:rFonts w:hint="eastAsia" w:ascii="仿宋_GB2312" w:eastAsia="仿宋_GB2312"/>
          <w:bCs/>
          <w:color w:val="auto"/>
          <w:sz w:val="32"/>
          <w:szCs w:val="32"/>
          <w:highlight w:val="none"/>
          <w:lang w:eastAsia="zh-CN"/>
        </w:rPr>
        <w:t>响</w:t>
      </w:r>
      <w:r>
        <w:rPr>
          <w:rFonts w:hint="eastAsia" w:ascii="Times New Roman" w:hAnsi="Times New Roman" w:eastAsia="宋体" w:cs="Times New Roman"/>
          <w:color w:val="auto"/>
          <w:sz w:val="24"/>
          <w:szCs w:val="22"/>
          <w:highlight w:val="none"/>
          <w:lang w:val="en-US" w:eastAsia="zh-CN"/>
        </w:rPr>
        <w:t>。</w:t>
      </w:r>
      <w:r>
        <w:rPr>
          <w:rFonts w:hint="eastAsia" w:ascii="仿宋_GB2312" w:hAnsi="Times New Roman" w:eastAsia="仿宋_GB2312" w:cs="宋体"/>
          <w:color w:val="auto"/>
          <w:kern w:val="0"/>
          <w:sz w:val="32"/>
          <w:szCs w:val="32"/>
          <w:highlight w:val="none"/>
          <w:lang w:val="en-US" w:eastAsia="zh-CN" w:bidi="ar"/>
        </w:rPr>
        <w:t>施</w:t>
      </w:r>
      <w:r>
        <w:rPr>
          <w:rFonts w:hint="eastAsia" w:ascii="仿宋_GB2312" w:hAnsi="Times New Roman" w:eastAsia="仿宋_GB2312" w:cs="宋体"/>
          <w:kern w:val="0"/>
          <w:sz w:val="32"/>
          <w:szCs w:val="32"/>
          <w:highlight w:val="none"/>
          <w:lang w:val="en-US" w:eastAsia="zh-CN" w:bidi="ar"/>
        </w:rPr>
        <w:t>工废水统一收集经沉淀池沉淀处理后回用，不外排。开挖土方应及时回填或清运，弃方运至渣土主管部门指定的弃土点。</w:t>
      </w:r>
      <w:r>
        <w:rPr>
          <w:rFonts w:hint="eastAsia" w:ascii="仿宋_GB2312" w:eastAsia="仿宋_GB2312"/>
          <w:bCs/>
          <w:sz w:val="32"/>
          <w:szCs w:val="32"/>
          <w:highlight w:val="none"/>
        </w:rPr>
        <w:t>施工结束后应及时对施工临时用地进行生态复垦和植被恢复。</w:t>
      </w:r>
    </w:p>
    <w:p w14:paraId="11ED298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60" w:lineRule="exact"/>
        <w:ind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三、《报告表》批准后，如建设项目的性质、规模、地点、采用的生产工艺或者防治污染、防止生态破坏的措施发生重大变动的，应当依法重新报批项目环评。《报告表》自批准之日起满5年，项目方开工建设的，其环评应当依法报生态环境部门重新审核。</w:t>
      </w:r>
    </w:p>
    <w:p w14:paraId="47DAB9FB">
      <w:pPr>
        <w:keepNext w:val="0"/>
        <w:keepLines w:val="0"/>
        <w:widowControl w:val="0"/>
        <w:suppressLineNumbers w:val="0"/>
        <w:snapToGrid w:val="0"/>
        <w:spacing w:before="0" w:beforeAutospacing="0" w:after="0" w:afterAutospacing="0" w:line="560" w:lineRule="exact"/>
        <w:ind w:left="0" w:right="0" w:firstLine="624" w:firstLineChars="195"/>
        <w:jc w:val="both"/>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四、项目应加强环境管理，推进落实各项生态环境保护措施。严格执行环境保护“三同时”制度，加强施工期环境管理。竣工后应按规定程序实施竣工环境保护验收。</w:t>
      </w:r>
    </w:p>
    <w:p w14:paraId="1738125D">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五、我局委托福州市生态环境保护综合执法支队开展该项目环保“三同时”监督检查，竣工后，由福州市仓山生态环境局负责该项目日常环保监督管理工作。</w:t>
      </w:r>
    </w:p>
    <w:p w14:paraId="30800ECB">
      <w:pPr>
        <w:pStyle w:val="5"/>
        <w:widowControl/>
        <w:snapToGrid w:val="0"/>
        <w:spacing w:line="500" w:lineRule="exact"/>
        <w:ind w:right="1170" w:rightChars="557"/>
        <w:jc w:val="right"/>
        <w:rPr>
          <w:rFonts w:hint="eastAsia" w:ascii="仿宋_GB2312" w:eastAsia="仿宋_GB2312" w:cs="仿宋_GB2312"/>
          <w:highlight w:val="yellow"/>
          <w:lang w:eastAsia="zh-CN"/>
        </w:rPr>
      </w:pPr>
    </w:p>
    <w:p w14:paraId="29906246">
      <w:pPr>
        <w:spacing w:line="500" w:lineRule="exact"/>
        <w:rPr>
          <w:rFonts w:hint="eastAsia"/>
          <w:highlight w:val="none"/>
          <w:lang w:eastAsia="zh-CN"/>
        </w:rPr>
      </w:pPr>
    </w:p>
    <w:p w14:paraId="6246E6C5">
      <w:pPr>
        <w:pStyle w:val="5"/>
        <w:widowControl/>
        <w:snapToGrid w:val="0"/>
        <w:spacing w:line="500" w:lineRule="exact"/>
        <w:ind w:right="1170" w:rightChars="557"/>
        <w:jc w:val="right"/>
        <w:rPr>
          <w:rFonts w:hint="eastAsia" w:ascii="仿宋_GB2312" w:eastAsia="仿宋_GB2312" w:cs="仿宋_GB2312"/>
          <w:highlight w:val="none"/>
          <w:lang w:val="en-US"/>
        </w:rPr>
      </w:pPr>
      <w:r>
        <w:rPr>
          <w:rFonts w:hint="eastAsia" w:ascii="仿宋_GB2312" w:eastAsia="仿宋_GB2312" w:cs="仿宋_GB2312"/>
          <w:highlight w:val="none"/>
          <w:lang w:eastAsia="zh-CN"/>
        </w:rPr>
        <w:t>福州市生态环境局</w:t>
      </w:r>
    </w:p>
    <w:p w14:paraId="6A18667E">
      <w:pPr>
        <w:pStyle w:val="5"/>
        <w:widowControl/>
        <w:snapToGrid w:val="0"/>
        <w:spacing w:line="500" w:lineRule="exact"/>
        <w:ind w:right="1170" w:rightChars="557"/>
        <w:jc w:val="right"/>
        <w:rPr>
          <w:rFonts w:hint="eastAsia" w:ascii="仿宋_GB2312" w:eastAsia="仿宋_GB2312" w:cs="仿宋_GB2312"/>
          <w:highlight w:val="none"/>
          <w:lang w:eastAsia="zh-CN"/>
        </w:rPr>
      </w:pPr>
      <w:r>
        <w:rPr>
          <w:rFonts w:hint="eastAsia" w:ascii="仿宋_GB2312" w:eastAsia="仿宋_GB2312" w:cs="仿宋_GB2312"/>
          <w:highlight w:val="none"/>
          <w:lang w:val="en-US"/>
        </w:rPr>
        <w:t>20</w:t>
      </w:r>
      <w:r>
        <w:rPr>
          <w:rFonts w:hint="eastAsia" w:ascii="仿宋_GB2312" w:eastAsia="仿宋_GB2312" w:cs="仿宋_GB2312"/>
          <w:highlight w:val="none"/>
          <w:lang w:val="en-US" w:eastAsia="zh-CN"/>
        </w:rPr>
        <w:t>25</w:t>
      </w:r>
      <w:r>
        <w:rPr>
          <w:rFonts w:hint="eastAsia" w:ascii="仿宋_GB2312" w:eastAsia="仿宋_GB2312" w:cs="仿宋_GB2312"/>
          <w:highlight w:val="none"/>
          <w:lang w:eastAsia="zh-CN"/>
        </w:rPr>
        <w:t>年</w:t>
      </w:r>
      <w:r>
        <w:rPr>
          <w:rFonts w:hint="eastAsia" w:ascii="仿宋_GB2312" w:eastAsia="仿宋_GB2312" w:cs="仿宋_GB2312"/>
          <w:highlight w:val="none"/>
          <w:lang w:val="en-US" w:eastAsia="zh-CN"/>
        </w:rPr>
        <w:t>12</w:t>
      </w:r>
      <w:r>
        <w:rPr>
          <w:rFonts w:hint="eastAsia" w:ascii="仿宋_GB2312" w:eastAsia="仿宋_GB2312" w:cs="仿宋_GB2312"/>
          <w:highlight w:val="none"/>
          <w:lang w:eastAsia="zh-CN"/>
        </w:rPr>
        <w:t>月</w:t>
      </w:r>
      <w:r>
        <w:rPr>
          <w:rFonts w:hint="eastAsia" w:ascii="仿宋_GB2312" w:eastAsia="仿宋_GB2312" w:cs="仿宋_GB2312"/>
          <w:highlight w:val="none"/>
          <w:lang w:val="en-US" w:eastAsia="zh-CN"/>
        </w:rPr>
        <w:t>5</w:t>
      </w:r>
      <w:r>
        <w:rPr>
          <w:rFonts w:hint="eastAsia" w:ascii="仿宋_GB2312" w:eastAsia="仿宋_GB2312" w:cs="仿宋_GB2312"/>
          <w:highlight w:val="none"/>
          <w:lang w:eastAsia="zh-CN"/>
        </w:rPr>
        <w:t>日</w:t>
      </w:r>
    </w:p>
    <w:p w14:paraId="788C9CC3">
      <w:pPr>
        <w:spacing w:line="500" w:lineRule="exact"/>
        <w:rPr>
          <w:rFonts w:hint="eastAsia" w:ascii="仿宋_GB2312" w:eastAsia="仿宋_GB2312" w:cs="仿宋_GB2312"/>
          <w:highlight w:val="none"/>
          <w:lang w:eastAsia="zh-CN"/>
        </w:rPr>
      </w:pPr>
    </w:p>
    <w:p w14:paraId="027418E9">
      <w:pPr>
        <w:rPr>
          <w:rFonts w:hint="eastAsia" w:ascii="仿宋_GB2312" w:eastAsia="仿宋_GB2312" w:cs="仿宋_GB2312"/>
          <w:highlight w:val="none"/>
          <w:lang w:eastAsia="zh-CN"/>
        </w:rPr>
      </w:pPr>
    </w:p>
    <w:p w14:paraId="453A23C3">
      <w:pPr>
        <w:rPr>
          <w:rFonts w:hint="eastAsia" w:ascii="仿宋_GB2312" w:eastAsia="仿宋_GB2312" w:cs="仿宋_GB2312"/>
          <w:highlight w:val="none"/>
          <w:lang w:eastAsia="zh-CN"/>
        </w:rPr>
      </w:pPr>
    </w:p>
    <w:p w14:paraId="7FFBBB80">
      <w:pPr>
        <w:pStyle w:val="2"/>
        <w:rPr>
          <w:rFonts w:hint="eastAsia" w:ascii="仿宋_GB2312" w:eastAsia="仿宋_GB2312" w:cs="仿宋_GB2312"/>
          <w:highlight w:val="none"/>
          <w:lang w:eastAsia="zh-CN"/>
        </w:rPr>
      </w:pPr>
    </w:p>
    <w:p w14:paraId="0D4A6829">
      <w:pPr>
        <w:rPr>
          <w:rFonts w:hint="eastAsia" w:ascii="仿宋_GB2312" w:eastAsia="仿宋_GB2312" w:cs="仿宋_GB2312"/>
          <w:highlight w:val="none"/>
          <w:lang w:eastAsia="zh-CN"/>
        </w:rPr>
      </w:pPr>
    </w:p>
    <w:p w14:paraId="447E27A9">
      <w:pPr>
        <w:rPr>
          <w:rFonts w:hint="eastAsia" w:ascii="仿宋_GB2312" w:eastAsia="仿宋_GB2312" w:cs="仿宋_GB2312"/>
          <w:highlight w:val="none"/>
          <w:lang w:eastAsia="zh-CN"/>
        </w:rPr>
      </w:pPr>
    </w:p>
    <w:p w14:paraId="4F03F263">
      <w:pPr>
        <w:rPr>
          <w:rFonts w:hint="eastAsia" w:ascii="仿宋_GB2312" w:eastAsia="仿宋_GB2312" w:cs="仿宋_GB2312"/>
          <w:highlight w:val="none"/>
          <w:lang w:eastAsia="zh-CN"/>
        </w:rPr>
      </w:pPr>
    </w:p>
    <w:p w14:paraId="6DF5D4EB">
      <w:pPr>
        <w:rPr>
          <w:rFonts w:hint="eastAsia" w:ascii="仿宋_GB2312" w:eastAsia="仿宋_GB2312" w:cs="仿宋_GB2312"/>
          <w:highlight w:val="none"/>
          <w:lang w:eastAsia="zh-CN"/>
        </w:rPr>
      </w:pPr>
    </w:p>
    <w:p w14:paraId="73A18C9A">
      <w:pPr>
        <w:rPr>
          <w:rFonts w:hint="eastAsia" w:ascii="仿宋_GB2312" w:eastAsia="仿宋_GB2312" w:cs="仿宋_GB2312"/>
          <w:highlight w:val="none"/>
          <w:lang w:eastAsia="zh-CN"/>
        </w:rPr>
      </w:pPr>
    </w:p>
    <w:p w14:paraId="57FC252E">
      <w:pPr>
        <w:rPr>
          <w:rFonts w:hint="eastAsia" w:ascii="仿宋_GB2312" w:eastAsia="仿宋_GB2312" w:cs="仿宋_GB2312"/>
          <w:highlight w:val="none"/>
          <w:lang w:eastAsia="zh-CN"/>
        </w:rPr>
      </w:pPr>
    </w:p>
    <w:p w14:paraId="4031364E">
      <w:pPr>
        <w:rPr>
          <w:rFonts w:hint="eastAsia" w:ascii="仿宋_GB2312" w:eastAsia="仿宋_GB2312" w:cs="仿宋_GB2312"/>
          <w:highlight w:val="none"/>
          <w:lang w:eastAsia="zh-CN"/>
        </w:rPr>
      </w:pPr>
    </w:p>
    <w:p w14:paraId="4081782F">
      <w:pPr>
        <w:rPr>
          <w:rFonts w:hint="eastAsia" w:ascii="仿宋_GB2312" w:eastAsia="仿宋_GB2312" w:cs="仿宋_GB2312"/>
          <w:highlight w:val="none"/>
          <w:lang w:eastAsia="zh-CN"/>
        </w:rPr>
      </w:pPr>
    </w:p>
    <w:p w14:paraId="49CBC74D">
      <w:pPr>
        <w:rPr>
          <w:rFonts w:hint="eastAsia" w:ascii="仿宋_GB2312" w:eastAsia="仿宋_GB2312" w:cs="仿宋_GB2312"/>
          <w:highlight w:val="none"/>
          <w:lang w:eastAsia="zh-CN"/>
        </w:rPr>
      </w:pPr>
    </w:p>
    <w:p w14:paraId="16A3E132">
      <w:pPr>
        <w:rPr>
          <w:rFonts w:hint="eastAsia" w:ascii="仿宋_GB2312" w:eastAsia="仿宋_GB2312" w:cs="仿宋_GB2312"/>
          <w:highlight w:val="none"/>
          <w:lang w:eastAsia="zh-CN"/>
        </w:rPr>
      </w:pPr>
    </w:p>
    <w:p w14:paraId="08C6BAD5">
      <w:pPr>
        <w:rPr>
          <w:rFonts w:hint="eastAsia" w:ascii="仿宋_GB2312" w:eastAsia="仿宋_GB2312" w:cs="仿宋_GB2312"/>
          <w:highlight w:val="none"/>
          <w:lang w:eastAsia="zh-CN"/>
        </w:rPr>
      </w:pPr>
    </w:p>
    <w:p w14:paraId="0AD6E25A">
      <w:pPr>
        <w:rPr>
          <w:rFonts w:hint="eastAsia" w:ascii="仿宋_GB2312" w:eastAsia="仿宋_GB2312" w:cs="仿宋_GB2312"/>
          <w:highlight w:val="none"/>
          <w:lang w:eastAsia="zh-CN"/>
        </w:rPr>
      </w:pPr>
    </w:p>
    <w:p w14:paraId="3F54CCAB">
      <w:pPr>
        <w:rPr>
          <w:rFonts w:hint="eastAsia" w:ascii="仿宋_GB2312" w:eastAsia="仿宋_GB2312" w:cs="仿宋_GB2312"/>
          <w:highlight w:val="none"/>
          <w:lang w:eastAsia="zh-CN"/>
        </w:rPr>
      </w:pPr>
    </w:p>
    <w:p w14:paraId="35252D9D">
      <w:pPr>
        <w:rPr>
          <w:rFonts w:hint="eastAsia" w:ascii="仿宋_GB2312" w:eastAsia="仿宋_GB2312" w:cs="仿宋_GB2312"/>
          <w:highlight w:val="none"/>
          <w:lang w:eastAsia="zh-CN"/>
        </w:rPr>
      </w:pPr>
    </w:p>
    <w:p w14:paraId="3BDD1CD8">
      <w:pPr>
        <w:rPr>
          <w:rFonts w:hint="eastAsia" w:ascii="仿宋_GB2312" w:eastAsia="仿宋_GB2312" w:cs="仿宋_GB2312"/>
          <w:highlight w:val="none"/>
          <w:lang w:eastAsia="zh-CN"/>
        </w:rPr>
      </w:pPr>
    </w:p>
    <w:p w14:paraId="175DC995">
      <w:pPr>
        <w:rPr>
          <w:rFonts w:hint="eastAsia" w:ascii="仿宋_GB2312" w:eastAsia="仿宋_GB2312" w:cs="仿宋_GB2312"/>
          <w:highlight w:val="none"/>
          <w:lang w:eastAsia="zh-CN"/>
        </w:rPr>
      </w:pPr>
    </w:p>
    <w:p w14:paraId="7CE23A96">
      <w:pPr>
        <w:rPr>
          <w:rFonts w:hint="eastAsia" w:ascii="仿宋_GB2312" w:eastAsia="仿宋_GB2312" w:cs="仿宋_GB2312"/>
          <w:highlight w:val="none"/>
          <w:lang w:eastAsia="zh-CN"/>
        </w:rPr>
      </w:pPr>
    </w:p>
    <w:p w14:paraId="2408ECBE">
      <w:pPr>
        <w:rPr>
          <w:rFonts w:hint="eastAsia" w:ascii="仿宋_GB2312" w:eastAsia="仿宋_GB2312" w:cs="仿宋_GB2312"/>
          <w:highlight w:val="none"/>
          <w:lang w:eastAsia="zh-CN"/>
        </w:rPr>
      </w:pPr>
    </w:p>
    <w:p w14:paraId="3B5016A6">
      <w:pPr>
        <w:rPr>
          <w:rFonts w:hint="eastAsia" w:ascii="仿宋_GB2312" w:eastAsia="仿宋_GB2312" w:cs="仿宋_GB2312"/>
          <w:highlight w:val="none"/>
          <w:lang w:eastAsia="zh-CN"/>
        </w:rPr>
      </w:pPr>
    </w:p>
    <w:p w14:paraId="2A17876A">
      <w:pPr>
        <w:rPr>
          <w:rFonts w:hint="eastAsia"/>
          <w:highlight w:val="none"/>
          <w:lang w:val="en-US" w:eastAsia="zh-CN"/>
        </w:rPr>
      </w:pPr>
    </w:p>
    <w:p w14:paraId="7065FF96">
      <w:pPr>
        <w:keepNext w:val="0"/>
        <w:keepLines w:val="0"/>
        <w:widowControl w:val="0"/>
        <w:suppressLineNumbers w:val="0"/>
        <w:snapToGrid w:val="0"/>
        <w:spacing w:before="0" w:beforeAutospacing="0" w:after="0" w:afterAutospacing="0"/>
        <w:ind w:left="0" w:right="0"/>
        <w:jc w:val="both"/>
        <w:rPr>
          <w:rFonts w:hint="eastAsia" w:ascii="仿宋_GB2312" w:eastAsia="仿宋_GB2312" w:cs="仿宋_GB2312"/>
          <w:highlight w:val="none"/>
          <w:lang w:val="en-US"/>
        </w:rPr>
      </w:pPr>
    </w:p>
    <w:tbl>
      <w:tblPr>
        <w:tblStyle w:val="10"/>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5"/>
        <w:gridCol w:w="3885"/>
        <w:gridCol w:w="3675"/>
      </w:tblGrid>
      <w:tr w14:paraId="77A4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155" w:type="dxa"/>
            <w:tcBorders>
              <w:top w:val="single" w:color="auto" w:sz="4" w:space="0"/>
              <w:left w:val="nil"/>
              <w:bottom w:val="single" w:color="auto" w:sz="4" w:space="0"/>
              <w:right w:val="nil"/>
            </w:tcBorders>
            <w:shd w:val="clear" w:color="auto" w:fill="auto"/>
            <w:vAlign w:val="center"/>
          </w:tcPr>
          <w:p w14:paraId="149E8C64">
            <w:pPr>
              <w:keepNext w:val="0"/>
              <w:keepLines w:val="0"/>
              <w:widowControl w:val="0"/>
              <w:suppressLineNumbers w:val="0"/>
              <w:tabs>
                <w:tab w:val="left" w:pos="3885"/>
              </w:tabs>
              <w:spacing w:before="0" w:beforeAutospacing="0" w:after="0" w:afterAutospacing="0"/>
              <w:ind w:left="0" w:right="0" w:firstLine="179" w:firstLineChars="64"/>
              <w:jc w:val="both"/>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抄送：</w:t>
            </w:r>
          </w:p>
        </w:tc>
        <w:tc>
          <w:tcPr>
            <w:tcW w:w="7560" w:type="dxa"/>
            <w:gridSpan w:val="2"/>
            <w:tcBorders>
              <w:top w:val="single" w:color="auto" w:sz="4" w:space="0"/>
              <w:left w:val="nil"/>
              <w:bottom w:val="single" w:color="auto" w:sz="4" w:space="0"/>
              <w:right w:val="nil"/>
            </w:tcBorders>
            <w:shd w:val="clear" w:color="auto" w:fill="auto"/>
            <w:vAlign w:val="center"/>
          </w:tcPr>
          <w:p w14:paraId="349C6AB7">
            <w:pPr>
              <w:keepNext w:val="0"/>
              <w:keepLines w:val="0"/>
              <w:widowControl w:val="0"/>
              <w:suppressLineNumbers w:val="0"/>
              <w:tabs>
                <w:tab w:val="left" w:pos="3885"/>
              </w:tabs>
              <w:spacing w:before="0" w:beforeAutospacing="0" w:after="0" w:afterAutospacing="0"/>
              <w:ind w:left="0" w:right="0"/>
              <w:jc w:val="both"/>
              <w:rPr>
                <w:rFonts w:hint="eastAsia" w:ascii="仿宋_GB2312" w:eastAsia="仿宋_GB2312" w:cs="仿宋_GB2312"/>
                <w:sz w:val="28"/>
                <w:szCs w:val="28"/>
                <w:highlight w:val="none"/>
                <w:lang w:val="en-US" w:eastAsia="zh-CN"/>
              </w:rPr>
            </w:pPr>
            <w:r>
              <w:rPr>
                <w:rFonts w:hint="eastAsia" w:ascii="仿宋_GB2312" w:hAnsi="Times New Roman" w:eastAsia="仿宋_GB2312" w:cs="仿宋_GB2312"/>
                <w:kern w:val="2"/>
                <w:sz w:val="28"/>
                <w:szCs w:val="20"/>
                <w:highlight w:val="none"/>
                <w:lang w:val="en-US" w:eastAsia="zh-CN" w:bidi="ar"/>
              </w:rPr>
              <w:t>福州市生态环境保护综合执法支队，福州市仓山生态环境局，中水环科（福建）项目管理有限公司。</w:t>
            </w:r>
          </w:p>
        </w:tc>
      </w:tr>
      <w:tr w14:paraId="2EDC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40" w:type="dxa"/>
            <w:gridSpan w:val="2"/>
            <w:tcBorders>
              <w:top w:val="single" w:color="auto" w:sz="4" w:space="0"/>
              <w:left w:val="nil"/>
              <w:bottom w:val="single" w:color="auto" w:sz="4" w:space="0"/>
              <w:right w:val="nil"/>
            </w:tcBorders>
            <w:shd w:val="clear" w:color="auto" w:fill="auto"/>
            <w:vAlign w:val="center"/>
          </w:tcPr>
          <w:p w14:paraId="14959C3D">
            <w:pPr>
              <w:keepNext w:val="0"/>
              <w:keepLines w:val="0"/>
              <w:widowControl w:val="0"/>
              <w:suppressLineNumbers w:val="0"/>
              <w:tabs>
                <w:tab w:val="left" w:pos="3885"/>
              </w:tabs>
              <w:spacing w:before="0" w:beforeAutospacing="0" w:after="0" w:afterAutospacing="0"/>
              <w:ind w:left="0" w:right="0" w:firstLine="179" w:firstLineChars="64"/>
              <w:jc w:val="both"/>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福州市生态环境局</w:t>
            </w:r>
          </w:p>
        </w:tc>
        <w:tc>
          <w:tcPr>
            <w:tcW w:w="3675" w:type="dxa"/>
            <w:tcBorders>
              <w:top w:val="single" w:color="auto" w:sz="4" w:space="0"/>
              <w:left w:val="nil"/>
              <w:bottom w:val="single" w:color="auto" w:sz="4" w:space="0"/>
              <w:right w:val="nil"/>
            </w:tcBorders>
            <w:shd w:val="clear" w:color="auto" w:fill="auto"/>
            <w:vAlign w:val="center"/>
          </w:tcPr>
          <w:p w14:paraId="5976C99C">
            <w:pPr>
              <w:keepNext w:val="0"/>
              <w:keepLines w:val="0"/>
              <w:widowControl w:val="0"/>
              <w:suppressLineNumbers w:val="0"/>
              <w:tabs>
                <w:tab w:val="left" w:pos="3882"/>
                <w:tab w:val="left" w:pos="3987"/>
              </w:tabs>
              <w:spacing w:before="0" w:beforeAutospacing="0" w:after="0" w:afterAutospacing="0"/>
              <w:ind w:left="0" w:right="311" w:rightChars="148"/>
              <w:jc w:val="right"/>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2025年12月5日印发</w:t>
            </w:r>
          </w:p>
        </w:tc>
      </w:tr>
    </w:tbl>
    <w:p w14:paraId="20605341">
      <w:pPr>
        <w:rPr>
          <w:highlight w:val="none"/>
        </w:rPr>
      </w:pPr>
    </w:p>
    <w:sectPr>
      <w:footerReference r:id="rId3" w:type="default"/>
      <w:pgSz w:w="11906" w:h="16838"/>
      <w:pgMar w:top="1701"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长城小标宋体">
    <w:altName w:val="宋体"/>
    <w:panose1 w:val="0201060901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A793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320C0">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2320C0">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5361"/>
    <w:multiLevelType w:val="singleLevel"/>
    <w:tmpl w:val="2B0E536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mU4YmM1MTQ3ZDUyOWQxMDA5OGU4MmQ5YTNiMDAifQ=="/>
  </w:docVars>
  <w:rsids>
    <w:rsidRoot w:val="2A7F762B"/>
    <w:rsid w:val="014F132C"/>
    <w:rsid w:val="01DD6FC1"/>
    <w:rsid w:val="0219705A"/>
    <w:rsid w:val="02951328"/>
    <w:rsid w:val="02B83A6C"/>
    <w:rsid w:val="03CC5678"/>
    <w:rsid w:val="03F716B2"/>
    <w:rsid w:val="06B47C12"/>
    <w:rsid w:val="06CF3FDF"/>
    <w:rsid w:val="076B63F8"/>
    <w:rsid w:val="07B76A03"/>
    <w:rsid w:val="08877123"/>
    <w:rsid w:val="097912D2"/>
    <w:rsid w:val="0A0259D4"/>
    <w:rsid w:val="0A537496"/>
    <w:rsid w:val="0A7B2C42"/>
    <w:rsid w:val="0EBC0E2F"/>
    <w:rsid w:val="100F211B"/>
    <w:rsid w:val="11B15CE9"/>
    <w:rsid w:val="123E696C"/>
    <w:rsid w:val="12D0457D"/>
    <w:rsid w:val="1339568F"/>
    <w:rsid w:val="13941148"/>
    <w:rsid w:val="155C0219"/>
    <w:rsid w:val="15B63938"/>
    <w:rsid w:val="15E21487"/>
    <w:rsid w:val="16C049E6"/>
    <w:rsid w:val="17376763"/>
    <w:rsid w:val="173A433D"/>
    <w:rsid w:val="17C02571"/>
    <w:rsid w:val="185C0C0F"/>
    <w:rsid w:val="196B1FA1"/>
    <w:rsid w:val="1A07082D"/>
    <w:rsid w:val="1A2D6D57"/>
    <w:rsid w:val="1B9F3755"/>
    <w:rsid w:val="1BB107CD"/>
    <w:rsid w:val="1DB55799"/>
    <w:rsid w:val="20835F2C"/>
    <w:rsid w:val="210711EE"/>
    <w:rsid w:val="213F3844"/>
    <w:rsid w:val="219278A5"/>
    <w:rsid w:val="231015C1"/>
    <w:rsid w:val="23D1267C"/>
    <w:rsid w:val="25B53634"/>
    <w:rsid w:val="264F7B2D"/>
    <w:rsid w:val="269913EF"/>
    <w:rsid w:val="26F17F87"/>
    <w:rsid w:val="26FA4A88"/>
    <w:rsid w:val="28A86FC8"/>
    <w:rsid w:val="2A7F762B"/>
    <w:rsid w:val="2CAD0908"/>
    <w:rsid w:val="2CB95D74"/>
    <w:rsid w:val="2D2F4B41"/>
    <w:rsid w:val="2E214D74"/>
    <w:rsid w:val="2E831059"/>
    <w:rsid w:val="2F652F3C"/>
    <w:rsid w:val="31DF7D29"/>
    <w:rsid w:val="32432891"/>
    <w:rsid w:val="32781451"/>
    <w:rsid w:val="328F50B3"/>
    <w:rsid w:val="33B4282D"/>
    <w:rsid w:val="34414959"/>
    <w:rsid w:val="344B15E7"/>
    <w:rsid w:val="34565CE1"/>
    <w:rsid w:val="34B92A27"/>
    <w:rsid w:val="35D66A76"/>
    <w:rsid w:val="36CD523C"/>
    <w:rsid w:val="379F27DC"/>
    <w:rsid w:val="38FC70C7"/>
    <w:rsid w:val="396A64FB"/>
    <w:rsid w:val="3B7B6102"/>
    <w:rsid w:val="3C461732"/>
    <w:rsid w:val="3DB945F5"/>
    <w:rsid w:val="3FB61A84"/>
    <w:rsid w:val="402C102B"/>
    <w:rsid w:val="407707ED"/>
    <w:rsid w:val="438B4B5B"/>
    <w:rsid w:val="43CA10AF"/>
    <w:rsid w:val="45314B84"/>
    <w:rsid w:val="46377937"/>
    <w:rsid w:val="47C411B6"/>
    <w:rsid w:val="49203E9F"/>
    <w:rsid w:val="49641AB4"/>
    <w:rsid w:val="4A69668E"/>
    <w:rsid w:val="4A810DC1"/>
    <w:rsid w:val="4B456184"/>
    <w:rsid w:val="4B544E40"/>
    <w:rsid w:val="4B997BD4"/>
    <w:rsid w:val="4BC03622"/>
    <w:rsid w:val="4CD339FE"/>
    <w:rsid w:val="4DB67CDD"/>
    <w:rsid w:val="4E576091"/>
    <w:rsid w:val="5328504E"/>
    <w:rsid w:val="53346F23"/>
    <w:rsid w:val="545C3B2A"/>
    <w:rsid w:val="562418E0"/>
    <w:rsid w:val="56B238A8"/>
    <w:rsid w:val="56D6723A"/>
    <w:rsid w:val="56DD30D8"/>
    <w:rsid w:val="56FA33C7"/>
    <w:rsid w:val="570F789F"/>
    <w:rsid w:val="5773682D"/>
    <w:rsid w:val="59790483"/>
    <w:rsid w:val="5AB30E80"/>
    <w:rsid w:val="5D8466D6"/>
    <w:rsid w:val="5E49718B"/>
    <w:rsid w:val="610D1793"/>
    <w:rsid w:val="61464082"/>
    <w:rsid w:val="61AA6D4E"/>
    <w:rsid w:val="61AC3705"/>
    <w:rsid w:val="61BD2347"/>
    <w:rsid w:val="62DB0373"/>
    <w:rsid w:val="635B63B9"/>
    <w:rsid w:val="674F436D"/>
    <w:rsid w:val="676676DF"/>
    <w:rsid w:val="68A81837"/>
    <w:rsid w:val="68C27247"/>
    <w:rsid w:val="69AA484A"/>
    <w:rsid w:val="6A20215B"/>
    <w:rsid w:val="6C2A2F12"/>
    <w:rsid w:val="6C524909"/>
    <w:rsid w:val="6C6B04B8"/>
    <w:rsid w:val="6CA5599E"/>
    <w:rsid w:val="6D0A06B5"/>
    <w:rsid w:val="6D8945FB"/>
    <w:rsid w:val="6E6E2E44"/>
    <w:rsid w:val="6E7B7983"/>
    <w:rsid w:val="6EAD420C"/>
    <w:rsid w:val="6F460731"/>
    <w:rsid w:val="718D4C87"/>
    <w:rsid w:val="71BD5B16"/>
    <w:rsid w:val="731146F1"/>
    <w:rsid w:val="73F3130E"/>
    <w:rsid w:val="749C56FE"/>
    <w:rsid w:val="74BF5883"/>
    <w:rsid w:val="75053496"/>
    <w:rsid w:val="75F77103"/>
    <w:rsid w:val="76CA152F"/>
    <w:rsid w:val="777B68B9"/>
    <w:rsid w:val="783B4C00"/>
    <w:rsid w:val="7AB16E00"/>
    <w:rsid w:val="7AC730D1"/>
    <w:rsid w:val="7BAF2565"/>
    <w:rsid w:val="7C031292"/>
    <w:rsid w:val="7C145F64"/>
    <w:rsid w:val="7CC80452"/>
    <w:rsid w:val="7CDA4005"/>
    <w:rsid w:val="7FA07A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unhideWhenUsed/>
    <w:qFormat/>
    <w:uiPriority w:val="0"/>
    <w:pPr>
      <w:spacing w:after="120"/>
      <w:ind w:left="420" w:leftChars="200"/>
    </w:pPr>
  </w:style>
  <w:style w:type="paragraph" w:styleId="5">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楷体_GB2312" w:cs="Times New Roman"/>
      <w:kern w:val="2"/>
      <w:sz w:val="32"/>
      <w:szCs w:val="20"/>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Body Text First Indent 2"/>
    <w:basedOn w:val="4"/>
    <w:qFormat/>
    <w:uiPriority w:val="0"/>
    <w:pPr>
      <w:spacing w:after="0" w:line="420" w:lineRule="exact"/>
      <w:ind w:left="0" w:leftChars="0" w:firstLine="420"/>
    </w:pPr>
    <w:rPr>
      <w:rFonts w:ascii="仿宋_GB2312" w:eastAsia="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5文章(治) Char"/>
    <w:basedOn w:val="12"/>
    <w:qFormat/>
    <w:uiPriority w:val="0"/>
    <w:rPr>
      <w:rFonts w:hint="eastAsia" w:ascii="楷体_GB2312" w:eastAsia="楷体_GB2312" w:cs="楷体_GB2312"/>
      <w:kern w:val="2"/>
      <w:sz w:val="2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1100</Words>
  <Characters>1127</Characters>
  <Lines>0</Lines>
  <Paragraphs>0</Paragraphs>
  <TotalTime>8</TotalTime>
  <ScaleCrop>false</ScaleCrop>
  <LinksUpToDate>false</LinksUpToDate>
  <CharactersWithSpaces>1127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2016-03-09T02:21:00Z</dcterms:created>
  <dc:creator>Yuri</dc:creator>
  <cp:lastModifiedBy>月见函灯</cp:lastModifiedBy>
  <cp:lastPrinted>2025-12-05T03:52:00Z</cp:lastPrinted>
  <dcterms:modified xsi:type="dcterms:W3CDTF">2025-12-05T07:14:18Z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65A58B2092B04323A6808DD7582B2FD2_13</vt:lpwstr>
  </property>
  <property fmtid="{D5CDD505-2E9C-101B-9397-08002B2CF9AE}" pid="4" name="KSOTemplateDocerSaveRecord">
    <vt:lpwstr>eyJoZGlkIjoiMGQxMGM2NWJlN2Q1ZTkzMWY3Y2U5YTgzOTNjODgxZTIiLCJ1c2VySWQiOiIxMTIzNjQ4OTY3In0=</vt:lpwstr>
  </property>
</Properties>
</file>