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9CBFF1">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313" w:afterLines="100" w:afterAutospacing="0" w:line="240" w:lineRule="auto"/>
        <w:ind w:left="0" w:leftChars="0" w:right="250" w:rightChars="119" w:firstLine="0" w:firstLineChars="0"/>
        <w:jc w:val="right"/>
        <w:textAlignment w:val="auto"/>
        <w:outlineLvl w:val="9"/>
        <w:rPr>
          <w:rFonts w:hint="eastAsia" w:ascii="仿宋_GB2312" w:hAnsi="仿宋_GB2312" w:eastAsia="仿宋_GB2312" w:cs="仿宋_GB2312"/>
          <w:kern w:val="2"/>
          <w:sz w:val="32"/>
          <w:szCs w:val="32"/>
          <w:highlight w:val="none"/>
          <w:lang w:val="en-US" w:eastAsia="zh-CN" w:bidi="ar"/>
        </w:rPr>
      </w:pPr>
      <w:bookmarkStart w:id="0" w:name="_GoBack"/>
      <w:bookmarkEnd w:id="0"/>
      <w:r>
        <w:rPr>
          <w:rFonts w:hint="eastAsia" w:ascii="仿宋_GB2312" w:hAnsi="仿宋_GB2312" w:eastAsia="仿宋_GB2312" w:cs="仿宋_GB2312"/>
          <w:kern w:val="2"/>
          <w:sz w:val="32"/>
          <w:szCs w:val="32"/>
          <w:highlight w:val="none"/>
          <w:lang w:val="en-US" w:eastAsia="zh-CN" w:bidi="ar"/>
        </w:rPr>
        <w:t>榕环评〔2025〕61号</w:t>
      </w:r>
    </w:p>
    <w:p w14:paraId="75D71EE6">
      <w:pPr>
        <w:keepNext w:val="0"/>
        <w:keepLines w:val="0"/>
        <w:pageBreakBefore w:val="0"/>
        <w:widowControl w:val="0"/>
        <w:suppressLineNumbers w:val="0"/>
        <w:kinsoku/>
        <w:wordWrap/>
        <w:overflowPunct/>
        <w:topLinePunct w:val="0"/>
        <w:autoSpaceDE/>
        <w:autoSpaceDN/>
        <w:bidi w:val="0"/>
        <w:adjustRightInd/>
        <w:snapToGrid w:val="0"/>
        <w:spacing w:beforeAutospacing="0" w:after="313" w:afterLines="10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r>
        <w:rPr>
          <w:rFonts w:hint="eastAsia" w:ascii="长城小标宋体" w:hAnsi="长城小标宋体" w:eastAsia="长城小标宋体" w:cs="长城小标宋体"/>
          <w:kern w:val="2"/>
          <w:sz w:val="40"/>
          <w:szCs w:val="40"/>
          <w:highlight w:val="none"/>
          <w:lang w:val="en-US" w:eastAsia="zh-CN" w:bidi="ar"/>
        </w:rPr>
        <w:t>福州市生态环境局关于清繁大道与长福高速龙山互通连接线工程、洪宽四路（洪宽大道-田园综合体）道路工程、福和大道（清荣大道-清大路）道路工程项目环境影响报告表的审批意见</w:t>
      </w:r>
    </w:p>
    <w:p w14:paraId="4975779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p>
    <w:p w14:paraId="1579DC1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jc w:val="both"/>
        <w:textAlignment w:val="auto"/>
        <w:rPr>
          <w:rFonts w:hint="eastAsia" w:ascii="仿宋_GB2312" w:eastAsia="仿宋_GB2312" w:cs="仿宋_GB2312"/>
          <w:sz w:val="32"/>
          <w:szCs w:val="32"/>
          <w:highlight w:val="none"/>
          <w:lang w:val="en-US"/>
        </w:rPr>
      </w:pPr>
      <w:r>
        <w:rPr>
          <w:rFonts w:hint="eastAsia" w:ascii="仿宋_GB2312" w:hAnsi="Times New Roman" w:eastAsia="仿宋_GB2312" w:cs="仿宋_GB2312"/>
          <w:kern w:val="2"/>
          <w:sz w:val="32"/>
          <w:szCs w:val="32"/>
          <w:highlight w:val="none"/>
          <w:lang w:val="en-US" w:eastAsia="zh-CN" w:bidi="ar"/>
        </w:rPr>
        <w:t>福清市城市产业投资集团有限公司：</w:t>
      </w:r>
    </w:p>
    <w:p w14:paraId="3C3CCC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清繁大道与长福高速龙山互通连接线工程环境影响报告表》《洪宽四路（洪宽大道-田园综合体）道路工程环境影响报告表》《福和大道（清荣大道-清大路）道路工程环境影响报告表》(以下简称《报告表》)收悉。三个项目符合《福州市生态环境局关于优化调整建设项目环境影响评价文件审批权限及分工 提升环评审批质效的通知》（榕环保综〔2023〕51号）中区域“打包”审批要求，进行环评“打包”审批。根据《中华人民共和国环境影响评价法》第二十二条等规定，并征求福州市福清生态环境局意见，现提出审批意见如下：</w:t>
      </w:r>
    </w:p>
    <w:p w14:paraId="6E9E09C3">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kern w:val="0"/>
          <w:sz w:val="32"/>
          <w:szCs w:val="32"/>
          <w:highlight w:val="yellow"/>
          <w:lang w:val="en-US" w:eastAsia="zh-CN" w:bidi="ar"/>
        </w:rPr>
      </w:pPr>
      <w:r>
        <w:rPr>
          <w:rFonts w:hint="eastAsia" w:ascii="仿宋_GB2312" w:hAnsi="Times New Roman" w:eastAsia="仿宋_GB2312" w:cs="仿宋_GB2312"/>
          <w:kern w:val="2"/>
          <w:sz w:val="32"/>
          <w:szCs w:val="32"/>
          <w:highlight w:val="none"/>
          <w:lang w:val="en-US" w:eastAsia="zh-CN" w:bidi="ar"/>
        </w:rPr>
        <w:t>一、清繁大道与长福高速龙山互通连接线工程项目位于福州市福清市龙山街道</w:t>
      </w:r>
      <w:r>
        <w:rPr>
          <w:rFonts w:hint="eastAsia" w:ascii="仿宋_GB2312" w:hAnsi="Times New Roman" w:eastAsia="仿宋_GB2312" w:cs="仿宋_GB2312"/>
          <w:b w:val="0"/>
          <w:bCs w:val="0"/>
          <w:kern w:val="2"/>
          <w:sz w:val="32"/>
          <w:szCs w:val="32"/>
          <w:highlight w:val="none"/>
          <w:lang w:val="en-US" w:eastAsia="zh-CN" w:bidi="ar"/>
        </w:rPr>
        <w:t>，主要建设内容：道路、桥梁、</w:t>
      </w:r>
      <w:r>
        <w:rPr>
          <w:rFonts w:hint="eastAsia" w:ascii="仿宋_GB2312" w:hAnsi="Times New Roman" w:eastAsia="仿宋_GB2312" w:cs="宋体"/>
          <w:b w:val="0"/>
          <w:bCs w:val="0"/>
          <w:kern w:val="0"/>
          <w:sz w:val="32"/>
          <w:szCs w:val="32"/>
          <w:highlight w:val="none"/>
          <w:lang w:val="en-US" w:eastAsia="zh-CN" w:bidi="ar"/>
        </w:rPr>
        <w:t>给排水、电气及照明、交通工程等。其中道路工程主要建设：起点位于清荣大道，终点至清繁大道，长842.754m，宽40m</w:t>
      </w:r>
      <w:r>
        <w:rPr>
          <w:rFonts w:hint="eastAsia" w:ascii="宋体" w:hAnsi="宋体" w:eastAsia="宋体" w:cs="宋体"/>
          <w:b w:val="0"/>
          <w:bCs w:val="0"/>
          <w:kern w:val="0"/>
          <w:sz w:val="32"/>
          <w:szCs w:val="32"/>
          <w:highlight w:val="none"/>
          <w:lang w:val="en-US" w:eastAsia="zh-CN" w:bidi="ar"/>
        </w:rPr>
        <w:t>～</w:t>
      </w:r>
      <w:r>
        <w:rPr>
          <w:rFonts w:hint="eastAsia" w:ascii="仿宋_GB2312" w:hAnsi="Times New Roman" w:eastAsia="仿宋_GB2312" w:cs="宋体"/>
          <w:b w:val="0"/>
          <w:bCs w:val="0"/>
          <w:kern w:val="0"/>
          <w:sz w:val="32"/>
          <w:szCs w:val="32"/>
          <w:highlight w:val="none"/>
          <w:lang w:val="en-US" w:eastAsia="zh-CN" w:bidi="ar"/>
        </w:rPr>
        <w:t>47m，道路等级为城市主干路；</w:t>
      </w:r>
      <w:r>
        <w:rPr>
          <w:rFonts w:hint="eastAsia" w:ascii="仿宋_GB2312" w:hAnsi="Times New Roman" w:eastAsia="仿宋_GB2312" w:cs="宋体"/>
          <w:kern w:val="0"/>
          <w:sz w:val="32"/>
          <w:szCs w:val="32"/>
          <w:highlight w:val="none"/>
          <w:lang w:val="en-US" w:eastAsia="zh-CN" w:bidi="ar"/>
        </w:rPr>
        <w:t>桥梁工程：建设龙山溪桥，长28</w:t>
      </w:r>
      <w:r>
        <w:rPr>
          <w:rFonts w:hint="eastAsia" w:ascii="仿宋_GB2312" w:hAnsi="Times New Roman" w:eastAsia="仿宋_GB2312" w:cs="宋体"/>
          <w:b w:val="0"/>
          <w:bCs w:val="0"/>
          <w:kern w:val="0"/>
          <w:sz w:val="32"/>
          <w:szCs w:val="32"/>
          <w:highlight w:val="none"/>
          <w:lang w:val="en-US" w:eastAsia="zh-CN" w:bidi="ar"/>
        </w:rPr>
        <w:t>m，宽46.75m；沿线设置涵洞1道。路段改造：对长福高速龙山收费站接线进行改造，起点与清繁连接线相交，终点与现状长福高速龙山互通F匝道现状道路衔接，长112m，宽24m，道路等级为城市次干道。村道建设：建设可溪村村道，起点位于清繁大道，终点至已改造可溪村村道，长346.977m，宽7.5m，沿线设置涵洞1道。</w:t>
      </w:r>
    </w:p>
    <w:p w14:paraId="1B5A0E06">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 xml:space="preserve">洪宽四路（洪宽大道-田园综合体）道路工程位于福州市福清市阳下街道，主要建设内容：道路、桥梁、给排水、电气照明、管线综合、交通工程等。其中道路工程主要建设：起点位于洪宽大道交叉口北进口道渐变段，终点至沿溪路，长497.12m，宽40m，道路等级为城市次干路。桥梁工程：新建桥梁一座，长42m，宽36m。 </w:t>
      </w:r>
    </w:p>
    <w:p w14:paraId="094EB87E">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福和大道(清荣大道-清大路)道路工程项目位于福州市福清市音西街道，主要建设内容：道路、交通、给排水、电力及照明、管线综合、绿化工程等。其中道路工程主要建设：起点位于清荣大道，终点至清大路，长770m，宽40m，道路等级为城市主干路。</w:t>
      </w:r>
    </w:p>
    <w:p w14:paraId="7F3A11A7">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highlight w:val="none"/>
          <w:lang w:val="en-US" w:eastAsia="zh-CN"/>
        </w:rPr>
      </w:pPr>
      <w:r>
        <w:rPr>
          <w:rFonts w:hint="eastAsia" w:ascii="仿宋_GB2312" w:hAnsi="Times New Roman" w:eastAsia="仿宋_GB2312" w:cs="宋体"/>
          <w:kern w:val="0"/>
          <w:sz w:val="32"/>
          <w:szCs w:val="32"/>
          <w:highlight w:val="none"/>
          <w:lang w:val="en-US" w:eastAsia="zh-CN" w:bidi="ar"/>
        </w:rPr>
        <w:t>根据《报告表》评价结论，以上项目均</w:t>
      </w:r>
      <w:r>
        <w:rPr>
          <w:rFonts w:hint="eastAsia"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符合生态环境保护相关法律法规和政策，符合生态环境分区管控要求</w:t>
      </w:r>
      <w:r>
        <w:rPr>
          <w:rFonts w:hint="eastAsia" w:ascii="仿宋_GB2312" w:hAnsi="Times New Roman" w:eastAsia="仿宋_GB2312" w:cs="宋体"/>
          <w:kern w:val="0"/>
          <w:sz w:val="32"/>
          <w:szCs w:val="32"/>
          <w:highlight w:val="none"/>
          <w:lang w:val="en-US" w:eastAsia="zh-CN" w:bidi="ar"/>
        </w:rPr>
        <w:t>。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0719FF52">
      <w:pPr>
        <w:keepNext w:val="0"/>
        <w:keepLines w:val="0"/>
        <w:pageBreakBefore w:val="0"/>
        <w:widowControl w:val="0"/>
        <w:numPr>
          <w:ilvl w:val="0"/>
          <w:numId w:val="1"/>
        </w:numPr>
        <w:suppressLineNumbers w:val="0"/>
        <w:kinsoku/>
        <w:wordWrap/>
        <w:overflowPunct/>
        <w:topLinePunct w:val="0"/>
        <w:autoSpaceDE/>
        <w:autoSpaceDN/>
        <w:bidi w:val="0"/>
        <w:snapToGrid w:val="0"/>
        <w:spacing w:before="0" w:beforeAutospacing="0" w:after="0" w:afterAutospacing="0" w:line="560" w:lineRule="exact"/>
        <w:ind w:left="0" w:right="0" w:firstLine="624" w:firstLineChars="195"/>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项目在施工和运营中应认真落实《报告表》提出的各项环境保护措施，并重点做好以下工作：</w:t>
      </w:r>
    </w:p>
    <w:p w14:paraId="700A89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宋体"/>
          <w:strike w:val="0"/>
          <w:dstrike w:val="0"/>
          <w:color w:val="0000FF"/>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噪声污染防治。合理布局施工现场、安排施工作业时间，采取必要的措施防止施工噪声对沿线声环境敏感目标的影响。对全线运营期噪声预测超标的声环境敏感目标，采取安装隔声窗等噪声防治措施，运营期加强对沿线声环境敏感目标的噪声监测，预留资金，根据跟踪监测结果适时增补、完善噪声防治措施，确保声环境质量达到《声环境质量标准》（GB3096-2008）表1中2类、3类环境噪声限值（临街建筑以高于三层楼房以上(含三层)的建筑为主，第一排建筑物面向街道一侧范围内执行 4a类标准;临街建筑以低于三层楼房(含开阔地)的建筑为主，相邻区域为2类声环境功能区，道路边界外35米范围内执行4a类标准；相邻区域为3类声环境功能区，道路边界外25米范围内执行4a类标准</w:t>
      </w:r>
      <w:r>
        <w:rPr>
          <w:rFonts w:hint="eastAsia" w:ascii="仿宋_GB2312" w:hAnsi="Times New Roman" w:eastAsia="仿宋_GB2312" w:cs="宋体"/>
          <w:strike w:val="0"/>
          <w:dstrike w:val="0"/>
          <w:kern w:val="0"/>
          <w:sz w:val="32"/>
          <w:szCs w:val="32"/>
          <w:highlight w:val="none"/>
          <w:lang w:val="en-US" w:eastAsia="zh-CN" w:bidi="ar"/>
        </w:rPr>
        <w:t>。</w:t>
      </w:r>
    </w:p>
    <w:p w14:paraId="5FAB51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（二）强化施工期环境管理，不得擅自扩大临时用地面积。</w:t>
      </w:r>
      <w:r>
        <w:rPr>
          <w:rFonts w:hint="eastAsia" w:ascii="仿宋_GB2312" w:eastAsia="仿宋_GB2312"/>
          <w:bCs/>
          <w:sz w:val="32"/>
          <w:szCs w:val="32"/>
          <w:highlight w:val="none"/>
          <w:lang w:eastAsia="zh-CN"/>
        </w:rPr>
        <w:t>易扬尘作业应采取湿法</w:t>
      </w:r>
      <w:r>
        <w:rPr>
          <w:rFonts w:hint="eastAsia" w:ascii="仿宋_GB2312" w:eastAsia="仿宋_GB2312"/>
          <w:bCs/>
          <w:sz w:val="32"/>
          <w:szCs w:val="32"/>
          <w:highlight w:val="none"/>
          <w:lang w:val="en-US" w:eastAsia="zh-CN"/>
        </w:rPr>
        <w:t>,</w:t>
      </w:r>
      <w:r>
        <w:rPr>
          <w:rFonts w:hint="eastAsia" w:ascii="仿宋_GB2312" w:hAnsi="Times New Roman" w:eastAsia="仿宋_GB2312" w:cs="宋体"/>
          <w:kern w:val="0"/>
          <w:sz w:val="32"/>
          <w:szCs w:val="32"/>
          <w:highlight w:val="none"/>
          <w:lang w:val="en-US" w:eastAsia="zh-CN" w:bidi="ar"/>
        </w:rPr>
        <w:t>施工场地应通过设置围挡、喷淋、道路洒水降尘等措施减少扬尘影响。</w:t>
      </w:r>
      <w:r>
        <w:rPr>
          <w:rFonts w:hint="eastAsia" w:ascii="仿宋_GB2312" w:eastAsia="仿宋_GB2312"/>
          <w:bCs/>
          <w:sz w:val="32"/>
          <w:szCs w:val="32"/>
          <w:highlight w:val="none"/>
        </w:rPr>
        <w:t>严格控制施工作业时间</w:t>
      </w:r>
      <w:r>
        <w:rPr>
          <w:rFonts w:hint="eastAsia" w:ascii="仿宋_GB2312" w:eastAsia="仿宋_GB2312"/>
          <w:bCs/>
          <w:sz w:val="32"/>
          <w:szCs w:val="32"/>
          <w:highlight w:val="none"/>
          <w:lang w:eastAsia="zh-CN"/>
        </w:rPr>
        <w:t>，减少对周边环境的影响</w:t>
      </w:r>
      <w:r>
        <w:rPr>
          <w:rFonts w:hint="eastAsia" w:ascii="Times New Roman" w:hAnsi="Times New Roman" w:eastAsia="宋体" w:cs="Times New Roman"/>
          <w:color w:val="auto"/>
          <w:sz w:val="24"/>
          <w:szCs w:val="22"/>
          <w:highlight w:val="none"/>
          <w:lang w:val="en-US" w:eastAsia="zh-CN"/>
        </w:rPr>
        <w:t>。</w:t>
      </w:r>
      <w:r>
        <w:rPr>
          <w:rFonts w:hint="eastAsia" w:ascii="仿宋_GB2312" w:hAnsi="Times New Roman" w:eastAsia="仿宋_GB2312" w:cs="宋体"/>
          <w:kern w:val="0"/>
          <w:sz w:val="32"/>
          <w:szCs w:val="32"/>
          <w:highlight w:val="none"/>
          <w:lang w:val="en-US" w:eastAsia="zh-CN" w:bidi="ar"/>
        </w:rPr>
        <w:t>施工废水统一收集经沉淀池沉淀处理后回用，不外排。涉水</w:t>
      </w:r>
      <w:r>
        <w:rPr>
          <w:rFonts w:hint="eastAsia" w:ascii="仿宋_GB2312" w:hAnsi="宋体" w:eastAsia="仿宋_GB2312"/>
          <w:color w:val="000000"/>
          <w:sz w:val="32"/>
          <w:szCs w:val="32"/>
          <w:highlight w:val="none"/>
        </w:rPr>
        <w:t>桥墩施工应采用围堰灌桩，产生的钻渣、泥沙及其它废弃物应清运到岸上指定地点处置，灌桩出浆经沉淀后循环使用</w:t>
      </w:r>
      <w:r>
        <w:rPr>
          <w:rFonts w:hint="eastAsia" w:ascii="仿宋_GB2312" w:hAnsi="宋体" w:eastAsia="仿宋_GB2312"/>
          <w:color w:val="000000"/>
          <w:sz w:val="32"/>
          <w:szCs w:val="32"/>
          <w:highlight w:val="none"/>
          <w:lang w:eastAsia="zh-CN"/>
        </w:rPr>
        <w:t>。</w:t>
      </w:r>
      <w:r>
        <w:rPr>
          <w:rFonts w:hint="eastAsia" w:ascii="仿宋_GB2312" w:hAnsi="Times New Roman" w:eastAsia="仿宋_GB2312" w:cs="宋体"/>
          <w:kern w:val="0"/>
          <w:sz w:val="32"/>
          <w:szCs w:val="32"/>
          <w:highlight w:val="none"/>
          <w:lang w:val="en-US" w:eastAsia="zh-CN" w:bidi="ar"/>
        </w:rPr>
        <w:t>开挖土方应及时回填或清运，弃方运至渣土主管部门指定的弃土点。</w:t>
      </w:r>
      <w:r>
        <w:rPr>
          <w:rFonts w:hint="eastAsia" w:ascii="仿宋_GB2312" w:eastAsia="仿宋_GB2312"/>
          <w:bCs/>
          <w:sz w:val="32"/>
          <w:szCs w:val="32"/>
          <w:highlight w:val="none"/>
        </w:rPr>
        <w:t>施工结束后应及时对施工临时用地进行生态复垦和植被恢复。</w:t>
      </w:r>
    </w:p>
    <w:p w14:paraId="53E6A7E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报告表》批准后，如建设项目的性质、规模、地点、采用的生产工艺或者防治污染、防止生态破坏的措施发生重大变动的，应当依法重新报批项目环评。《报告表》自批准之日起满5年，项目方开工建设的，其环评应当依法报生态环境部门重新审核。</w:t>
      </w:r>
    </w:p>
    <w:p w14:paraId="10340AA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firstLine="624" w:firstLineChars="195"/>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四、项目应加强环境管理，推进落实各项生态环境保护措施。严格执行环境保护“三同时”制度，加强施工期环境管理。竣工后应按规定程序实施竣工环境保护验收。</w:t>
      </w:r>
    </w:p>
    <w:p w14:paraId="5C181F7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五、我局委托福州市生态环境保护综合执法支队开展该项目环保“三同时”监督检查，竣工后，由福州市福清生态环境局负责该项目日常环保监督管理工作。</w:t>
      </w:r>
    </w:p>
    <w:p w14:paraId="2CFC00AC">
      <w:pPr>
        <w:pStyle w:val="5"/>
        <w:keepNext w:val="0"/>
        <w:keepLines w:val="0"/>
        <w:pageBreakBefore w:val="0"/>
        <w:widowControl/>
        <w:kinsoku/>
        <w:wordWrap/>
        <w:overflowPunct/>
        <w:topLinePunct w:val="0"/>
        <w:autoSpaceDE/>
        <w:autoSpaceDN/>
        <w:bidi w:val="0"/>
        <w:snapToGrid w:val="0"/>
        <w:spacing w:line="500" w:lineRule="exact"/>
        <w:ind w:right="1170" w:rightChars="557"/>
        <w:jc w:val="right"/>
        <w:textAlignment w:val="auto"/>
        <w:rPr>
          <w:rFonts w:hint="eastAsia" w:ascii="仿宋_GB2312" w:eastAsia="仿宋_GB2312" w:cs="仿宋_GB2312"/>
          <w:highlight w:val="yellow"/>
          <w:lang w:eastAsia="zh-CN"/>
        </w:rPr>
      </w:pPr>
    </w:p>
    <w:p w14:paraId="04EE3C8A">
      <w:pPr>
        <w:keepNext w:val="0"/>
        <w:keepLines w:val="0"/>
        <w:pageBreakBefore w:val="0"/>
        <w:kinsoku/>
        <w:wordWrap/>
        <w:overflowPunct/>
        <w:topLinePunct w:val="0"/>
        <w:autoSpaceDE/>
        <w:autoSpaceDN/>
        <w:bidi w:val="0"/>
        <w:spacing w:line="500" w:lineRule="exact"/>
        <w:textAlignment w:val="auto"/>
        <w:rPr>
          <w:rFonts w:hint="eastAsia"/>
          <w:highlight w:val="none"/>
          <w:lang w:eastAsia="zh-CN"/>
        </w:rPr>
      </w:pPr>
    </w:p>
    <w:p w14:paraId="2A451B0C">
      <w:pPr>
        <w:pStyle w:val="5"/>
        <w:keepNext w:val="0"/>
        <w:keepLines w:val="0"/>
        <w:pageBreakBefore w:val="0"/>
        <w:widowControl/>
        <w:kinsoku/>
        <w:wordWrap/>
        <w:overflowPunct/>
        <w:topLinePunct w:val="0"/>
        <w:autoSpaceDE/>
        <w:autoSpaceDN/>
        <w:bidi w:val="0"/>
        <w:snapToGrid w:val="0"/>
        <w:spacing w:line="500" w:lineRule="exact"/>
        <w:ind w:right="1170" w:rightChars="557"/>
        <w:jc w:val="right"/>
        <w:textAlignment w:val="auto"/>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278E9AE0">
      <w:pPr>
        <w:pStyle w:val="5"/>
        <w:keepNext w:val="0"/>
        <w:keepLines w:val="0"/>
        <w:pageBreakBefore w:val="0"/>
        <w:widowControl/>
        <w:kinsoku/>
        <w:wordWrap/>
        <w:overflowPunct/>
        <w:topLinePunct w:val="0"/>
        <w:autoSpaceDE/>
        <w:autoSpaceDN/>
        <w:bidi w:val="0"/>
        <w:snapToGrid w:val="0"/>
        <w:spacing w:line="500" w:lineRule="exact"/>
        <w:ind w:right="1170" w:rightChars="557"/>
        <w:jc w:val="right"/>
        <w:textAlignment w:val="auto"/>
        <w:rPr>
          <w:rFonts w:hint="eastAsia" w:ascii="仿宋_GB2312" w:eastAsia="仿宋_GB2312" w:cs="仿宋_GB2312"/>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11</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14</w:t>
      </w:r>
      <w:r>
        <w:rPr>
          <w:rFonts w:hint="eastAsia" w:ascii="仿宋_GB2312" w:eastAsia="仿宋_GB2312" w:cs="仿宋_GB2312"/>
          <w:highlight w:val="none"/>
          <w:lang w:eastAsia="zh-CN"/>
        </w:rPr>
        <w:t>日</w:t>
      </w:r>
    </w:p>
    <w:p w14:paraId="13FA68AA">
      <w:pPr>
        <w:keepNext w:val="0"/>
        <w:keepLines w:val="0"/>
        <w:pageBreakBefore w:val="0"/>
        <w:kinsoku/>
        <w:wordWrap/>
        <w:overflowPunct/>
        <w:topLinePunct w:val="0"/>
        <w:autoSpaceDE/>
        <w:autoSpaceDN/>
        <w:bidi w:val="0"/>
        <w:spacing w:line="500" w:lineRule="exact"/>
        <w:textAlignment w:val="auto"/>
        <w:rPr>
          <w:rFonts w:hint="eastAsia" w:ascii="仿宋_GB2312" w:eastAsia="仿宋_GB2312" w:cs="仿宋_GB2312"/>
          <w:highlight w:val="none"/>
          <w:lang w:eastAsia="zh-CN"/>
        </w:rPr>
      </w:pPr>
    </w:p>
    <w:p w14:paraId="5ADD6D20">
      <w:pPr>
        <w:keepNext w:val="0"/>
        <w:keepLines w:val="0"/>
        <w:pageBreakBefore w:val="0"/>
        <w:kinsoku/>
        <w:wordWrap/>
        <w:overflowPunct/>
        <w:topLinePunct w:val="0"/>
        <w:autoSpaceDE/>
        <w:autoSpaceDN/>
        <w:bidi w:val="0"/>
        <w:spacing w:line="500" w:lineRule="exact"/>
        <w:textAlignment w:val="auto"/>
        <w:rPr>
          <w:rFonts w:hint="eastAsia" w:ascii="仿宋_GB2312" w:eastAsia="仿宋_GB2312" w:cs="仿宋_GB2312"/>
          <w:highlight w:val="none"/>
          <w:lang w:eastAsia="zh-CN"/>
        </w:rPr>
      </w:pPr>
    </w:p>
    <w:p w14:paraId="42609876">
      <w:pPr>
        <w:rPr>
          <w:rFonts w:hint="eastAsia" w:ascii="仿宋_GB2312" w:eastAsia="仿宋_GB2312" w:cs="仿宋_GB2312"/>
          <w:highlight w:val="none"/>
          <w:lang w:eastAsia="zh-CN"/>
        </w:rPr>
      </w:pPr>
    </w:p>
    <w:p w14:paraId="3955F525">
      <w:pPr>
        <w:rPr>
          <w:rFonts w:hint="eastAsia" w:ascii="仿宋_GB2312" w:eastAsia="仿宋_GB2312" w:cs="仿宋_GB2312"/>
          <w:highlight w:val="none"/>
          <w:lang w:eastAsia="zh-CN"/>
        </w:rPr>
      </w:pPr>
    </w:p>
    <w:p w14:paraId="5E53F71F">
      <w:pPr>
        <w:rPr>
          <w:rFonts w:hint="eastAsia" w:ascii="仿宋_GB2312" w:eastAsia="仿宋_GB2312" w:cs="仿宋_GB2312"/>
          <w:highlight w:val="none"/>
          <w:lang w:eastAsia="zh-CN"/>
        </w:rPr>
      </w:pPr>
    </w:p>
    <w:p w14:paraId="0EB732E2">
      <w:pPr>
        <w:rPr>
          <w:rFonts w:hint="eastAsia" w:ascii="仿宋_GB2312" w:eastAsia="仿宋_GB2312" w:cs="仿宋_GB2312"/>
          <w:highlight w:val="none"/>
          <w:lang w:eastAsia="zh-CN"/>
        </w:rPr>
      </w:pPr>
    </w:p>
    <w:p w14:paraId="73EC3AD6">
      <w:pPr>
        <w:rPr>
          <w:rFonts w:hint="eastAsia" w:ascii="仿宋_GB2312" w:eastAsia="仿宋_GB2312" w:cs="仿宋_GB2312"/>
          <w:highlight w:val="none"/>
          <w:lang w:eastAsia="zh-CN"/>
        </w:rPr>
      </w:pPr>
    </w:p>
    <w:p w14:paraId="262B8ADE">
      <w:pPr>
        <w:rPr>
          <w:rFonts w:hint="eastAsia" w:ascii="仿宋_GB2312" w:eastAsia="仿宋_GB2312" w:cs="仿宋_GB2312"/>
          <w:highlight w:val="none"/>
          <w:lang w:eastAsia="zh-CN"/>
        </w:rPr>
      </w:pPr>
    </w:p>
    <w:p w14:paraId="29273DA0">
      <w:pPr>
        <w:rPr>
          <w:rFonts w:hint="eastAsia" w:ascii="仿宋_GB2312" w:eastAsia="仿宋_GB2312" w:cs="仿宋_GB2312"/>
          <w:highlight w:val="none"/>
          <w:lang w:eastAsia="zh-CN"/>
        </w:rPr>
      </w:pPr>
    </w:p>
    <w:p w14:paraId="6D13F548">
      <w:pPr>
        <w:rPr>
          <w:rFonts w:hint="eastAsia" w:ascii="仿宋_GB2312" w:eastAsia="仿宋_GB2312" w:cs="仿宋_GB2312"/>
          <w:highlight w:val="none"/>
          <w:lang w:eastAsia="zh-CN"/>
        </w:rPr>
      </w:pPr>
    </w:p>
    <w:p w14:paraId="39AAD5B8">
      <w:pPr>
        <w:rPr>
          <w:rFonts w:hint="eastAsia" w:ascii="仿宋_GB2312" w:eastAsia="仿宋_GB2312" w:cs="仿宋_GB2312"/>
          <w:highlight w:val="none"/>
          <w:lang w:eastAsia="zh-CN"/>
        </w:rPr>
      </w:pPr>
    </w:p>
    <w:p w14:paraId="6AFB4028">
      <w:pPr>
        <w:rPr>
          <w:rFonts w:hint="eastAsia"/>
          <w:highlight w:val="none"/>
          <w:lang w:val="en-US" w:eastAsia="zh-CN"/>
        </w:rPr>
      </w:pPr>
    </w:p>
    <w:p w14:paraId="2210CE68">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0"/>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1733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53DE460C">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552E2F10">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eastAsia="zh-CN"/>
              </w:rPr>
            </w:pPr>
            <w:r>
              <w:rPr>
                <w:rFonts w:hint="eastAsia" w:ascii="仿宋_GB2312" w:hAnsi="Times New Roman" w:eastAsia="仿宋_GB2312" w:cs="仿宋_GB2312"/>
                <w:kern w:val="2"/>
                <w:sz w:val="28"/>
                <w:szCs w:val="20"/>
                <w:highlight w:val="none"/>
                <w:lang w:val="en-US" w:eastAsia="zh-CN" w:bidi="ar"/>
              </w:rPr>
              <w:t>福州市生态环境保护综合执法支队，福州市福清生态环境局，福建省环境保护设计院有限公司。</w:t>
            </w:r>
          </w:p>
        </w:tc>
      </w:tr>
      <w:tr w14:paraId="43A1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29AA0482">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3F521AA7">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2025年11月14日印发</w:t>
            </w:r>
          </w:p>
        </w:tc>
      </w:tr>
    </w:tbl>
    <w:p w14:paraId="671AF420">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351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29F9">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5F29F9">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5361"/>
    <w:multiLevelType w:val="singleLevel"/>
    <w:tmpl w:val="2B0E53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0732078"/>
    <w:rsid w:val="014F132C"/>
    <w:rsid w:val="01DD6FC1"/>
    <w:rsid w:val="0219705A"/>
    <w:rsid w:val="02951328"/>
    <w:rsid w:val="03CC5678"/>
    <w:rsid w:val="06CF3FDF"/>
    <w:rsid w:val="076B63F8"/>
    <w:rsid w:val="07B76A03"/>
    <w:rsid w:val="086450F1"/>
    <w:rsid w:val="086949F5"/>
    <w:rsid w:val="08877123"/>
    <w:rsid w:val="097912D2"/>
    <w:rsid w:val="0A0259D4"/>
    <w:rsid w:val="0A537496"/>
    <w:rsid w:val="0A7B2C42"/>
    <w:rsid w:val="0A9623A9"/>
    <w:rsid w:val="0EBC0E2F"/>
    <w:rsid w:val="100F211B"/>
    <w:rsid w:val="11B15CE9"/>
    <w:rsid w:val="123E696C"/>
    <w:rsid w:val="12D0457D"/>
    <w:rsid w:val="1339568F"/>
    <w:rsid w:val="13941148"/>
    <w:rsid w:val="13CC186E"/>
    <w:rsid w:val="155C0219"/>
    <w:rsid w:val="15B63938"/>
    <w:rsid w:val="15E21487"/>
    <w:rsid w:val="16C049E6"/>
    <w:rsid w:val="17376763"/>
    <w:rsid w:val="173A433D"/>
    <w:rsid w:val="17C02571"/>
    <w:rsid w:val="185C0C0F"/>
    <w:rsid w:val="192664F4"/>
    <w:rsid w:val="196B1FA1"/>
    <w:rsid w:val="1A07082D"/>
    <w:rsid w:val="1A2D6D57"/>
    <w:rsid w:val="1B9F3755"/>
    <w:rsid w:val="1DB55799"/>
    <w:rsid w:val="1F1776F9"/>
    <w:rsid w:val="20835F2C"/>
    <w:rsid w:val="210711EE"/>
    <w:rsid w:val="213F3844"/>
    <w:rsid w:val="219278A5"/>
    <w:rsid w:val="231015C1"/>
    <w:rsid w:val="23D1267C"/>
    <w:rsid w:val="25B53634"/>
    <w:rsid w:val="264F7B2D"/>
    <w:rsid w:val="269913EF"/>
    <w:rsid w:val="26DD1912"/>
    <w:rsid w:val="26F17F87"/>
    <w:rsid w:val="26FA4A88"/>
    <w:rsid w:val="28A86FC8"/>
    <w:rsid w:val="2A7F762B"/>
    <w:rsid w:val="2CAD0908"/>
    <w:rsid w:val="2D2F4B41"/>
    <w:rsid w:val="2E214D74"/>
    <w:rsid w:val="2E831059"/>
    <w:rsid w:val="2F652F3C"/>
    <w:rsid w:val="31DF7D29"/>
    <w:rsid w:val="32432891"/>
    <w:rsid w:val="32781451"/>
    <w:rsid w:val="33B4282D"/>
    <w:rsid w:val="34414959"/>
    <w:rsid w:val="344B15E7"/>
    <w:rsid w:val="34565CE1"/>
    <w:rsid w:val="34B92A27"/>
    <w:rsid w:val="35D66A76"/>
    <w:rsid w:val="36CD523C"/>
    <w:rsid w:val="379F27DC"/>
    <w:rsid w:val="38FC70C7"/>
    <w:rsid w:val="396A64FB"/>
    <w:rsid w:val="3B7B6102"/>
    <w:rsid w:val="3C461732"/>
    <w:rsid w:val="3DB945F5"/>
    <w:rsid w:val="3FB61A84"/>
    <w:rsid w:val="402C102B"/>
    <w:rsid w:val="407707ED"/>
    <w:rsid w:val="438B4B5B"/>
    <w:rsid w:val="43CA10AF"/>
    <w:rsid w:val="45314B84"/>
    <w:rsid w:val="46377937"/>
    <w:rsid w:val="47C411B6"/>
    <w:rsid w:val="49203E9F"/>
    <w:rsid w:val="49641AB4"/>
    <w:rsid w:val="4A69668E"/>
    <w:rsid w:val="4A810DC1"/>
    <w:rsid w:val="4B456184"/>
    <w:rsid w:val="4B997BD4"/>
    <w:rsid w:val="4BC03622"/>
    <w:rsid w:val="4CD339FE"/>
    <w:rsid w:val="4DB67CDD"/>
    <w:rsid w:val="4E576091"/>
    <w:rsid w:val="5328504E"/>
    <w:rsid w:val="538636A9"/>
    <w:rsid w:val="545C3B2A"/>
    <w:rsid w:val="562418E0"/>
    <w:rsid w:val="56B238A8"/>
    <w:rsid w:val="56D6723A"/>
    <w:rsid w:val="56DD30D8"/>
    <w:rsid w:val="56FA33C7"/>
    <w:rsid w:val="570F789F"/>
    <w:rsid w:val="5773682D"/>
    <w:rsid w:val="59790483"/>
    <w:rsid w:val="5AB30E80"/>
    <w:rsid w:val="5D8466D6"/>
    <w:rsid w:val="5E49718B"/>
    <w:rsid w:val="60EE0200"/>
    <w:rsid w:val="610D1793"/>
    <w:rsid w:val="61464082"/>
    <w:rsid w:val="61AA6D4E"/>
    <w:rsid w:val="61AC3705"/>
    <w:rsid w:val="61BD2347"/>
    <w:rsid w:val="635B63B9"/>
    <w:rsid w:val="674F436D"/>
    <w:rsid w:val="676676DF"/>
    <w:rsid w:val="68A81837"/>
    <w:rsid w:val="68C27247"/>
    <w:rsid w:val="69AA484A"/>
    <w:rsid w:val="6A1E3F8D"/>
    <w:rsid w:val="6A20215B"/>
    <w:rsid w:val="6A5A49A9"/>
    <w:rsid w:val="6C2A2F12"/>
    <w:rsid w:val="6C524909"/>
    <w:rsid w:val="6C6B04B8"/>
    <w:rsid w:val="6CA5599E"/>
    <w:rsid w:val="6D0A06B5"/>
    <w:rsid w:val="6D8945FB"/>
    <w:rsid w:val="6E6E2E44"/>
    <w:rsid w:val="6EAD420C"/>
    <w:rsid w:val="6F460731"/>
    <w:rsid w:val="718D4C87"/>
    <w:rsid w:val="719B3ADE"/>
    <w:rsid w:val="71BD5B16"/>
    <w:rsid w:val="731146F1"/>
    <w:rsid w:val="73F3130E"/>
    <w:rsid w:val="749C56FE"/>
    <w:rsid w:val="75053496"/>
    <w:rsid w:val="75F77103"/>
    <w:rsid w:val="761605AE"/>
    <w:rsid w:val="76CA152F"/>
    <w:rsid w:val="777B68B9"/>
    <w:rsid w:val="783B4C00"/>
    <w:rsid w:val="7AB16E00"/>
    <w:rsid w:val="7BAF2565"/>
    <w:rsid w:val="7C031292"/>
    <w:rsid w:val="7C145F64"/>
    <w:rsid w:val="7CC80452"/>
    <w:rsid w:val="7CDA4005"/>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Body Text First Indent 2"/>
    <w:basedOn w:val="4"/>
    <w:qFormat/>
    <w:uiPriority w:val="0"/>
    <w:pPr>
      <w:spacing w:after="0" w:line="420" w:lineRule="exact"/>
      <w:ind w:left="0" w:leftChars="0" w:firstLine="420"/>
    </w:pPr>
    <w:rPr>
      <w:rFonts w:ascii="仿宋_GB2312" w:eastAsia="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5文章(治) Char"/>
    <w:basedOn w:val="12"/>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1909</Words>
  <Characters>1992</Characters>
  <Lines>0</Lines>
  <Paragraphs>0</Paragraphs>
  <TotalTime>97</TotalTime>
  <ScaleCrop>false</ScaleCrop>
  <LinksUpToDate>false</LinksUpToDate>
  <CharactersWithSpaces>1995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月见函灯</cp:lastModifiedBy>
  <cp:lastPrinted>2025-11-14T03:00:00Z</cp:lastPrinted>
  <dcterms:modified xsi:type="dcterms:W3CDTF">2025-11-17T07:03:55Z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C5A9DF453D01491A8E23028D8F477CEF_13</vt:lpwstr>
  </property>
  <property fmtid="{D5CDD505-2E9C-101B-9397-08002B2CF9AE}" pid="4" name="KSOTemplateDocerSaveRecord">
    <vt:lpwstr>eyJoZGlkIjoiMGQxMGM2NWJlN2Q1ZTkzMWY3Y2U5YTgzOTNjODgxZTIiLCJ1c2VySWQiOiIxMTIzNjQ4OTY3In0=</vt:lpwstr>
  </property>
</Properties>
</file>