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C6186">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Autospacing="0" w:line="240" w:lineRule="auto"/>
        <w:ind w:left="0" w:leftChars="0" w:right="250" w:rightChars="119" w:firstLine="0" w:firstLineChars="0"/>
        <w:jc w:val="right"/>
        <w:textAlignment w:val="auto"/>
        <w:outlineLvl w:val="9"/>
        <w:rPr>
          <w:rFonts w:hint="eastAsia" w:ascii="仿宋" w:hAnsi="仿宋" w:eastAsia="仿宋" w:cs="仿宋"/>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榕环评〔2025〕52号</w:t>
      </w:r>
    </w:p>
    <w:p w14:paraId="0CA5B34F">
      <w:pPr>
        <w:keepNext w:val="0"/>
        <w:keepLines w:val="0"/>
        <w:pageBreakBefore w:val="0"/>
        <w:widowControl w:val="0"/>
        <w:suppressLineNumbers w:val="0"/>
        <w:kinsoku/>
        <w:wordWrap/>
        <w:overflowPunct/>
        <w:topLinePunct w:val="0"/>
        <w:autoSpaceDE/>
        <w:autoSpaceDN/>
        <w:bidi w:val="0"/>
        <w:adjustRightInd/>
        <w:snapToGrid w:val="0"/>
        <w:spacing w:before="800" w:beforeAutospacing="0" w:after="0" w:afterAutospacing="0" w:line="520" w:lineRule="exact"/>
        <w:ind w:left="0" w:right="0"/>
        <w:jc w:val="center"/>
        <w:textAlignment w:val="auto"/>
        <w:rPr>
          <w:rFonts w:hint="eastAsia"/>
          <w:highlight w:val="none"/>
          <w:lang w:val="en-US"/>
        </w:rPr>
      </w:pPr>
      <w:r>
        <w:rPr>
          <w:rFonts w:hint="eastAsia" w:ascii="方正小标宋简体" w:hAnsi="方正小标宋简体" w:eastAsia="方正小标宋简体" w:cs="方正小标宋简体"/>
          <w:kern w:val="2"/>
          <w:sz w:val="44"/>
          <w:szCs w:val="44"/>
          <w:highlight w:val="none"/>
          <w:lang w:val="en-US" w:eastAsia="zh-CN" w:bidi="ar"/>
        </w:rPr>
        <w:t>福州市生态环境局关于宏庆沥青搅拌站项目环境影响报告表的审批意见</w:t>
      </w:r>
    </w:p>
    <w:p w14:paraId="73DD7A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jc w:val="both"/>
        <w:textAlignment w:val="auto"/>
        <w:rPr>
          <w:rFonts w:hint="eastAsia" w:ascii="仿宋_GB2312" w:hAnsi="Times New Roman" w:eastAsia="仿宋_GB2312" w:cs="仿宋_GB2312"/>
          <w:kern w:val="2"/>
          <w:sz w:val="32"/>
          <w:szCs w:val="32"/>
          <w:highlight w:val="none"/>
          <w:lang w:val="en-US" w:eastAsia="zh-CN" w:bidi="ar"/>
        </w:rPr>
      </w:pPr>
    </w:p>
    <w:p w14:paraId="01A2F1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jc w:val="both"/>
        <w:textAlignment w:val="auto"/>
        <w:rPr>
          <w:rFonts w:hint="eastAsia" w:ascii="仿宋_GB2312" w:eastAsia="仿宋_GB2312" w:cs="仿宋_GB2312"/>
          <w:sz w:val="32"/>
          <w:szCs w:val="32"/>
          <w:highlight w:val="none"/>
          <w:lang w:val="en-US"/>
        </w:rPr>
      </w:pPr>
      <w:r>
        <w:rPr>
          <w:rFonts w:hint="eastAsia" w:ascii="Times New Roman" w:hAnsi="Times New Roman" w:eastAsia="仿宋_GB2312" w:cs="Times New Roman"/>
          <w:color w:val="auto"/>
          <w:sz w:val="36"/>
          <w:szCs w:val="36"/>
          <w:u w:val="none"/>
          <w:lang w:eastAsia="zh-CN"/>
        </w:rPr>
        <w:t>福州</w:t>
      </w:r>
      <w:r>
        <w:rPr>
          <w:rFonts w:hint="eastAsia" w:ascii="Times New Roman" w:hAnsi="Times New Roman" w:eastAsia="仿宋_GB2312" w:cs="Times New Roman"/>
          <w:color w:val="auto"/>
          <w:sz w:val="36"/>
          <w:szCs w:val="36"/>
          <w:u w:val="none"/>
          <w:lang w:val="en-US" w:eastAsia="zh-CN"/>
        </w:rPr>
        <w:t>宏庆沥青混凝土工程</w:t>
      </w:r>
      <w:r>
        <w:rPr>
          <w:rFonts w:hint="eastAsia" w:ascii="Times New Roman" w:hAnsi="Times New Roman" w:eastAsia="仿宋_GB2312" w:cs="Times New Roman"/>
          <w:color w:val="auto"/>
          <w:sz w:val="36"/>
          <w:szCs w:val="36"/>
          <w:u w:val="none"/>
          <w:lang w:eastAsia="zh-CN"/>
        </w:rPr>
        <w:t>有限公司</w:t>
      </w:r>
      <w:r>
        <w:rPr>
          <w:rFonts w:hint="eastAsia" w:ascii="仿宋_GB2312" w:hAnsi="Times New Roman" w:eastAsia="仿宋_GB2312" w:cs="仿宋_GB2312"/>
          <w:kern w:val="2"/>
          <w:sz w:val="32"/>
          <w:szCs w:val="32"/>
          <w:highlight w:val="none"/>
          <w:lang w:val="en-US" w:eastAsia="zh-CN" w:bidi="ar"/>
        </w:rPr>
        <w:t>：</w:t>
      </w:r>
    </w:p>
    <w:p w14:paraId="48F3AB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你司报送的《宏庆沥青搅拌站项目环境影响报告表》(以下简称《报告表》)收悉。根据《中华人民共和国环境影响评价法》第22条等规定，并征求福州市闽侯生态环境局意见，现提出审批意见如下：</w:t>
      </w:r>
    </w:p>
    <w:p w14:paraId="1DA5DF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一、</w:t>
      </w:r>
      <w:r>
        <w:rPr>
          <w:rFonts w:hint="eastAsia" w:ascii="仿宋_GB2312" w:hAnsi="Times New Roman" w:eastAsia="仿宋_GB2312" w:cs="仿宋_GB2312"/>
          <w:kern w:val="2"/>
          <w:sz w:val="32"/>
          <w:szCs w:val="32"/>
          <w:highlight w:val="none"/>
          <w:lang w:val="en-US" w:eastAsia="zh-CN" w:bidi="ar"/>
        </w:rPr>
        <w:t>宏庆沥青搅拌站项目</w:t>
      </w:r>
      <w:r>
        <w:rPr>
          <w:rFonts w:hint="eastAsia" w:ascii="仿宋_GB2312" w:hAnsi="Times New Roman" w:eastAsia="仿宋_GB2312" w:cs="宋体"/>
          <w:kern w:val="0"/>
          <w:sz w:val="32"/>
          <w:szCs w:val="32"/>
          <w:highlight w:val="none"/>
          <w:lang w:val="en-US" w:eastAsia="zh-CN" w:bidi="ar"/>
        </w:rPr>
        <w:t>位于闽侯县荆溪镇厚屿村，租赁福建鑫宏建建筑工程有限公司部分厂房，总租赁面积4200平方米。建设内容及规模</w:t>
      </w:r>
      <w:r>
        <w:rPr>
          <w:rFonts w:hint="eastAsia" w:ascii="仿宋_GB2312" w:hAnsi="Times New Roman" w:eastAsia="仿宋_GB2312" w:cs="仿宋_GB2312"/>
          <w:kern w:val="2"/>
          <w:sz w:val="32"/>
          <w:szCs w:val="32"/>
          <w:highlight w:val="none"/>
          <w:lang w:val="en-US" w:eastAsia="zh-CN" w:bidi="ar"/>
        </w:rPr>
        <w:t>：</w:t>
      </w:r>
      <w:r>
        <w:rPr>
          <w:rFonts w:hint="eastAsia" w:ascii="仿宋_GB2312" w:hAnsi="Times New Roman" w:eastAsia="仿宋_GB2312" w:cs="宋体"/>
          <w:kern w:val="0"/>
          <w:sz w:val="32"/>
          <w:szCs w:val="32"/>
          <w:highlight w:val="none"/>
          <w:lang w:val="en-US" w:eastAsia="zh-CN" w:bidi="ar"/>
        </w:rPr>
        <w:t>新建一条沥青混凝土生产线，年产30万吨沥青混凝土。</w:t>
      </w:r>
      <w:r>
        <w:rPr>
          <w:rFonts w:hint="eastAsia" w:ascii="仿宋_GB2312" w:hAnsi="Times New Roman" w:eastAsia="仿宋_GB2312" w:cs="仿宋_GB2312"/>
          <w:kern w:val="2"/>
          <w:sz w:val="32"/>
          <w:szCs w:val="32"/>
          <w:highlight w:val="none"/>
          <w:lang w:val="en-US" w:eastAsia="zh-CN" w:bidi="ar"/>
        </w:rPr>
        <w:t>根据《报告表》评价结论，该项</w:t>
      </w:r>
      <w:r>
        <w:rPr>
          <w:rFonts w:hint="eastAsia" w:ascii="仿宋_GB2312" w:hAnsi="Times New Roman" w:eastAsia="仿宋_GB2312" w:cs="宋体"/>
          <w:kern w:val="0"/>
          <w:sz w:val="32"/>
          <w:szCs w:val="32"/>
          <w:highlight w:val="none"/>
          <w:lang w:val="en-US" w:eastAsia="zh-CN" w:bidi="ar"/>
        </w:rPr>
        <w:t>目建设符合生态环境保护相关法律法规和政策，符合生态环境分区管控要求，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14:paraId="7C225ED9">
      <w:pPr>
        <w:keepNext w:val="0"/>
        <w:keepLines w:val="0"/>
        <w:widowControl w:val="0"/>
        <w:numPr>
          <w:ilvl w:val="0"/>
          <w:numId w:val="1"/>
        </w:numPr>
        <w:suppressLineNumbers w:val="0"/>
        <w:snapToGrid w:val="0"/>
        <w:spacing w:before="0" w:beforeAutospacing="0" w:after="0" w:afterAutospacing="0" w:line="600" w:lineRule="exact"/>
        <w:ind w:left="0" w:right="0" w:firstLine="624" w:firstLineChars="195"/>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项目在施工和运营中应认真落实《报告表》提出的各项环境保护措施，并重点做好以下工作：</w:t>
      </w:r>
    </w:p>
    <w:p w14:paraId="2F55E0EB">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30" w:lineRule="atLeast"/>
        <w:ind w:left="0" w:right="0" w:firstLine="640" w:firstLineChars="200"/>
        <w:jc w:val="both"/>
        <w:rPr>
          <w:rFonts w:hint="eastAsia" w:ascii="仿宋_GB2312" w:hAnsi="Times New Roman" w:eastAsia="仿宋_GB2312" w:cs="宋体"/>
          <w:i w:val="0"/>
          <w:iCs w:val="0"/>
          <w:caps w:val="0"/>
          <w:color w:val="auto"/>
          <w:spacing w:val="0"/>
          <w:sz w:val="32"/>
          <w:szCs w:val="32"/>
          <w:highlight w:val="none"/>
          <w:shd w:val="clear" w:fill="auto"/>
        </w:rPr>
      </w:pPr>
      <w:r>
        <w:rPr>
          <w:rFonts w:hint="eastAsia" w:ascii="仿宋_GB2312" w:hAnsi="Times New Roman" w:eastAsia="仿宋_GB2312" w:cs="宋体"/>
          <w:i w:val="0"/>
          <w:iCs w:val="0"/>
          <w:caps w:val="0"/>
          <w:color w:val="auto"/>
          <w:spacing w:val="0"/>
          <w:sz w:val="32"/>
          <w:szCs w:val="32"/>
          <w:highlight w:val="none"/>
          <w:shd w:val="clear" w:fill="auto"/>
        </w:rPr>
        <w:t>加强废气源头管控和全过程收集处理，确保各类工艺废气的收集和处理效率达到《报告表》设计要求</w:t>
      </w:r>
      <w:r>
        <w:rPr>
          <w:rFonts w:hint="eastAsia" w:ascii="仿宋_GB2312" w:hAnsi="Times New Roman" w:eastAsia="仿宋_GB2312" w:cs="宋体"/>
          <w:i w:val="0"/>
          <w:iCs w:val="0"/>
          <w:caps w:val="0"/>
          <w:color w:val="auto"/>
          <w:spacing w:val="0"/>
          <w:sz w:val="32"/>
          <w:szCs w:val="32"/>
          <w:highlight w:val="none"/>
          <w:shd w:val="clear" w:fill="auto"/>
          <w:lang w:eastAsia="zh-CN"/>
        </w:rPr>
        <w:t>。原料输送、计量、投料以及骨料输送方式均采取封闭式，烘干、沥青废气以及筛分破碎粉尘等经密闭收集后处理达标后通过</w:t>
      </w:r>
      <w:r>
        <w:rPr>
          <w:rFonts w:hint="eastAsia" w:ascii="仿宋_GB2312" w:hAnsi="Times New Roman" w:eastAsia="仿宋_GB2312" w:cs="宋体"/>
          <w:i w:val="0"/>
          <w:iCs w:val="0"/>
          <w:caps w:val="0"/>
          <w:color w:val="auto"/>
          <w:spacing w:val="0"/>
          <w:sz w:val="32"/>
          <w:szCs w:val="32"/>
          <w:highlight w:val="none"/>
          <w:shd w:val="clear" w:fill="auto"/>
          <w:lang w:val="en-US" w:eastAsia="zh-CN"/>
        </w:rPr>
        <w:t>30米高排气筒排放，其中颗粒物、沥青烟、苯并[a]芘排放执行《大气污染物综合排放标准》（GB16297-1996）表2二级标准，NOx、SO</w:t>
      </w:r>
      <w:r>
        <w:rPr>
          <w:rFonts w:hint="eastAsia" w:ascii="仿宋_GB2312" w:hAnsi="Times New Roman" w:eastAsia="仿宋_GB2312" w:cs="宋体"/>
          <w:i w:val="0"/>
          <w:iCs w:val="0"/>
          <w:caps w:val="0"/>
          <w:color w:val="auto"/>
          <w:spacing w:val="0"/>
          <w:sz w:val="32"/>
          <w:szCs w:val="32"/>
          <w:highlight w:val="none"/>
          <w:shd w:val="clear" w:fill="auto"/>
          <w:vertAlign w:val="subscript"/>
          <w:lang w:val="en-US" w:eastAsia="zh-CN"/>
        </w:rPr>
        <w:t>2</w:t>
      </w:r>
      <w:r>
        <w:rPr>
          <w:rFonts w:hint="eastAsia" w:ascii="仿宋_GB2312" w:hAnsi="Times New Roman" w:eastAsia="仿宋_GB2312" w:cs="宋体"/>
          <w:i w:val="0"/>
          <w:iCs w:val="0"/>
          <w:caps w:val="0"/>
          <w:color w:val="auto"/>
          <w:spacing w:val="0"/>
          <w:sz w:val="32"/>
          <w:szCs w:val="32"/>
          <w:highlight w:val="none"/>
          <w:shd w:val="clear" w:fill="auto"/>
          <w:lang w:val="en-US" w:eastAsia="zh-CN"/>
        </w:rPr>
        <w:t>执行《锅炉大气污染物排放标准》（GB13271-2014）表3大气污染物特别排放限值。无组织废气颗粒物执行《大气污染物综合排放标准》（GB9078-1996）表2无组织排放监控浓度限值。</w:t>
      </w:r>
    </w:p>
    <w:p w14:paraId="002DBC38">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（二）项目不产生生产废水。近期</w:t>
      </w:r>
      <w:r>
        <w:rPr>
          <w:rFonts w:hint="default" w:ascii="仿宋_GB2312" w:hAnsi="Times New Roman" w:eastAsia="仿宋_GB2312" w:cs="宋体"/>
          <w:kern w:val="0"/>
          <w:sz w:val="32"/>
          <w:szCs w:val="32"/>
          <w:highlight w:val="none"/>
          <w:lang w:val="en-US" w:eastAsia="zh-CN" w:bidi="ar"/>
        </w:rPr>
        <w:t>生活污水经</w:t>
      </w:r>
      <w:r>
        <w:rPr>
          <w:rFonts w:hint="eastAsia" w:ascii="仿宋_GB2312" w:hAnsi="Times New Roman" w:eastAsia="仿宋_GB2312" w:cs="宋体"/>
          <w:kern w:val="0"/>
          <w:sz w:val="32"/>
          <w:szCs w:val="32"/>
          <w:highlight w:val="none"/>
          <w:lang w:val="en-US" w:eastAsia="zh-CN" w:bidi="ar"/>
        </w:rPr>
        <w:t>日处理规模5t/d一体化污水处理设施处理后达到《城市污水再生利用 城市杂用水水质》（GB/T18920-2020）表1限值后，回用于厂区绿化；远期生活污水经</w:t>
      </w:r>
      <w:r>
        <w:rPr>
          <w:rFonts w:hint="default" w:ascii="仿宋_GB2312" w:hAnsi="Times New Roman" w:eastAsia="仿宋_GB2312" w:cs="宋体"/>
          <w:kern w:val="0"/>
          <w:sz w:val="32"/>
          <w:szCs w:val="32"/>
          <w:highlight w:val="none"/>
          <w:lang w:val="en-US" w:eastAsia="zh-CN" w:bidi="ar"/>
        </w:rPr>
        <w:t>化粪池预处理</w:t>
      </w:r>
      <w:r>
        <w:rPr>
          <w:rFonts w:hint="eastAsia" w:ascii="仿宋_GB2312" w:hAnsi="Times New Roman" w:eastAsia="仿宋_GB2312" w:cs="宋体"/>
          <w:kern w:val="0"/>
          <w:sz w:val="32"/>
          <w:szCs w:val="32"/>
          <w:highlight w:val="none"/>
          <w:lang w:val="en-US" w:eastAsia="zh-CN" w:bidi="ar"/>
        </w:rPr>
        <w:t>达到</w:t>
      </w:r>
      <w:r>
        <w:rPr>
          <w:rFonts w:hint="default" w:ascii="仿宋_GB2312" w:hAnsi="Times New Roman" w:eastAsia="仿宋_GB2312" w:cs="宋体"/>
          <w:kern w:val="0"/>
          <w:sz w:val="32"/>
          <w:szCs w:val="32"/>
          <w:highlight w:val="none"/>
          <w:lang w:val="en-US" w:eastAsia="zh-CN" w:bidi="ar"/>
        </w:rPr>
        <w:t>《污水综合排放标准》(GB8978-1996)表4三级标准</w:t>
      </w:r>
      <w:r>
        <w:rPr>
          <w:rFonts w:hint="eastAsia" w:ascii="仿宋_GB2312" w:hAnsi="Times New Roman" w:eastAsia="仿宋_GB2312" w:cs="宋体"/>
          <w:kern w:val="0"/>
          <w:sz w:val="32"/>
          <w:szCs w:val="32"/>
          <w:highlight w:val="none"/>
          <w:lang w:val="en-US" w:eastAsia="zh-CN" w:bidi="ar"/>
        </w:rPr>
        <w:t>，</w:t>
      </w:r>
      <w:r>
        <w:rPr>
          <w:rFonts w:hint="default" w:ascii="仿宋_GB2312" w:hAnsi="Times New Roman" w:eastAsia="仿宋_GB2312" w:cs="宋体"/>
          <w:kern w:val="0"/>
          <w:sz w:val="32"/>
          <w:szCs w:val="32"/>
          <w:highlight w:val="none"/>
          <w:lang w:val="en-US" w:eastAsia="zh-CN" w:bidi="ar"/>
        </w:rPr>
        <w:t>排入市政污水管网</w:t>
      </w:r>
      <w:r>
        <w:rPr>
          <w:rFonts w:hint="eastAsia" w:ascii="仿宋_GB2312" w:hAnsi="Times New Roman" w:eastAsia="仿宋_GB2312" w:cs="宋体"/>
          <w:kern w:val="0"/>
          <w:sz w:val="32"/>
          <w:szCs w:val="32"/>
          <w:highlight w:val="none"/>
          <w:lang w:val="en-US" w:eastAsia="zh-CN" w:bidi="ar"/>
        </w:rPr>
        <w:t>纳入</w:t>
      </w:r>
      <w:r>
        <w:rPr>
          <w:rFonts w:hint="eastAsia" w:ascii="仿宋_GB2312" w:hAnsi="仿宋_GB2312" w:eastAsia="仿宋_GB2312" w:cs="仿宋_GB2312"/>
          <w:b w:val="0"/>
          <w:bCs/>
          <w:iCs/>
          <w:color w:val="auto"/>
          <w:kern w:val="0"/>
          <w:sz w:val="32"/>
          <w:szCs w:val="32"/>
          <w:lang w:val="en-US" w:eastAsia="zh-CN"/>
        </w:rPr>
        <w:t>闽侯县竹岐乡污水处理厂</w:t>
      </w:r>
      <w:r>
        <w:rPr>
          <w:rFonts w:hint="eastAsia" w:ascii="仿宋_GB2312" w:hAnsi="Times New Roman" w:eastAsia="仿宋_GB2312" w:cs="宋体"/>
          <w:kern w:val="0"/>
          <w:sz w:val="32"/>
          <w:szCs w:val="32"/>
          <w:highlight w:val="none"/>
          <w:lang w:val="en-US" w:eastAsia="zh-CN" w:bidi="ar"/>
        </w:rPr>
        <w:t>。</w:t>
      </w:r>
    </w:p>
    <w:p w14:paraId="67B501E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（三）项目夜间不运营，应选用低噪声设备，对高噪声污染源采取减振、隔声、降噪措施，</w:t>
      </w:r>
      <w:r>
        <w:rPr>
          <w:rFonts w:hint="default" w:ascii="仿宋_GB2312" w:hAnsi="Times New Roman" w:eastAsia="仿宋_GB2312" w:cs="宋体"/>
          <w:kern w:val="0"/>
          <w:sz w:val="32"/>
          <w:szCs w:val="32"/>
          <w:highlight w:val="none"/>
          <w:lang w:val="en-US" w:eastAsia="zh-CN" w:bidi="ar"/>
        </w:rPr>
        <w:t>厂界噪声</w:t>
      </w:r>
      <w:r>
        <w:rPr>
          <w:rFonts w:hint="eastAsia" w:ascii="仿宋_GB2312" w:hAnsi="Times New Roman" w:eastAsia="仿宋_GB2312" w:cs="宋体"/>
          <w:kern w:val="0"/>
          <w:sz w:val="32"/>
          <w:szCs w:val="32"/>
          <w:highlight w:val="none"/>
          <w:lang w:val="en-US" w:eastAsia="zh-CN" w:bidi="ar"/>
        </w:rPr>
        <w:t>执行</w:t>
      </w:r>
      <w:r>
        <w:rPr>
          <w:rFonts w:hint="default" w:ascii="仿宋_GB2312" w:hAnsi="Times New Roman" w:eastAsia="仿宋_GB2312" w:cs="宋体"/>
          <w:kern w:val="0"/>
          <w:sz w:val="32"/>
          <w:szCs w:val="32"/>
          <w:highlight w:val="none"/>
          <w:lang w:val="en-US" w:eastAsia="zh-CN" w:bidi="ar"/>
        </w:rPr>
        <w:t>《工业企业厂界环境噪声排放标准》</w:t>
      </w:r>
      <w:r>
        <w:rPr>
          <w:rFonts w:hint="eastAsia" w:ascii="仿宋_GB2312" w:hAnsi="Times New Roman" w:eastAsia="仿宋_GB2312" w:cs="宋体"/>
          <w:kern w:val="0"/>
          <w:sz w:val="32"/>
          <w:szCs w:val="32"/>
          <w:highlight w:val="none"/>
          <w:lang w:val="en-US" w:eastAsia="zh-CN" w:bidi="ar"/>
        </w:rPr>
        <w:t>（</w:t>
      </w:r>
      <w:r>
        <w:rPr>
          <w:rFonts w:hint="default" w:ascii="仿宋_GB2312" w:hAnsi="Times New Roman" w:eastAsia="仿宋_GB2312" w:cs="宋体"/>
          <w:kern w:val="0"/>
          <w:sz w:val="32"/>
          <w:szCs w:val="32"/>
          <w:highlight w:val="none"/>
          <w:lang w:val="en-US" w:eastAsia="zh-CN" w:bidi="ar"/>
        </w:rPr>
        <w:t>GB12348-2008</w:t>
      </w:r>
      <w:r>
        <w:rPr>
          <w:rFonts w:hint="eastAsia" w:ascii="仿宋_GB2312" w:hAnsi="Times New Roman" w:eastAsia="仿宋_GB2312" w:cs="宋体"/>
          <w:kern w:val="0"/>
          <w:sz w:val="32"/>
          <w:szCs w:val="32"/>
          <w:highlight w:val="none"/>
          <w:lang w:val="en-US" w:eastAsia="zh-CN" w:bidi="ar"/>
        </w:rPr>
        <w:t>）</w:t>
      </w:r>
      <w:r>
        <w:rPr>
          <w:rFonts w:hint="default" w:ascii="仿宋_GB2312" w:hAnsi="Times New Roman" w:eastAsia="仿宋_GB2312" w:cs="宋体"/>
          <w:kern w:val="0"/>
          <w:sz w:val="32"/>
          <w:szCs w:val="32"/>
          <w:highlight w:val="none"/>
          <w:lang w:val="en-US" w:eastAsia="zh-CN" w:bidi="ar"/>
        </w:rPr>
        <w:t>中表1</w:t>
      </w:r>
      <w:r>
        <w:rPr>
          <w:rFonts w:hint="eastAsia" w:ascii="仿宋_GB2312" w:hAnsi="Times New Roman" w:eastAsia="仿宋_GB2312" w:cs="宋体"/>
          <w:kern w:val="0"/>
          <w:sz w:val="32"/>
          <w:szCs w:val="32"/>
          <w:highlight w:val="none"/>
          <w:lang w:val="en-US" w:eastAsia="zh-CN" w:bidi="ar"/>
        </w:rPr>
        <w:t>中2</w:t>
      </w:r>
      <w:r>
        <w:rPr>
          <w:rFonts w:hint="default" w:ascii="仿宋_GB2312" w:hAnsi="Times New Roman" w:eastAsia="仿宋_GB2312" w:cs="宋体"/>
          <w:kern w:val="0"/>
          <w:sz w:val="32"/>
          <w:szCs w:val="32"/>
          <w:highlight w:val="none"/>
          <w:lang w:val="en-US" w:eastAsia="zh-CN" w:bidi="ar"/>
        </w:rPr>
        <w:t>类排放限值。</w:t>
      </w:r>
    </w:p>
    <w:p w14:paraId="41E8BD2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w:t>
      </w:r>
      <w:r>
        <w:rPr>
          <w:rFonts w:hint="eastAsia" w:ascii="仿宋_GB2312" w:hAnsi="仿宋_GB2312" w:eastAsia="仿宋_GB2312" w:cs="仿宋_GB2312"/>
          <w:color w:val="auto"/>
          <w:sz w:val="32"/>
          <w:szCs w:val="32"/>
          <w:lang w:val="en-US" w:eastAsia="zh-CN"/>
        </w:rPr>
        <w:t>废</w:t>
      </w:r>
      <w:r>
        <w:rPr>
          <w:rFonts w:hint="eastAsia" w:ascii="仿宋_GB2312" w:hAnsi="Times New Roman" w:eastAsia="仿宋_GB2312" w:cs="宋体"/>
          <w:color w:val="auto"/>
          <w:kern w:val="0"/>
          <w:sz w:val="32"/>
          <w:szCs w:val="32"/>
          <w:highlight w:val="none"/>
          <w:lang w:val="en-US" w:eastAsia="zh-CN" w:bidi="ar"/>
        </w:rPr>
        <w:t>骨料、沥青铣刨料、除尘器收集的粉尘统一收集后回用于生产</w:t>
      </w:r>
      <w:r>
        <w:rPr>
          <w:rFonts w:hint="eastAsia" w:ascii="仿宋_GB2312" w:hAnsi="Times New Roman" w:eastAsia="仿宋_GB2312" w:cs="宋体"/>
          <w:kern w:val="0"/>
          <w:sz w:val="32"/>
          <w:szCs w:val="32"/>
          <w:highlight w:val="none"/>
          <w:lang w:val="en-US" w:eastAsia="zh-CN" w:bidi="ar"/>
        </w:rPr>
        <w:t>等一般工业固体废物</w:t>
      </w:r>
      <w:r>
        <w:rPr>
          <w:rFonts w:hint="eastAsia" w:ascii="仿宋_GB2312" w:hAnsi="Times New Roman" w:eastAsia="仿宋_GB2312" w:cs="宋体"/>
          <w:color w:val="auto"/>
          <w:kern w:val="0"/>
          <w:sz w:val="32"/>
          <w:szCs w:val="32"/>
          <w:highlight w:val="none"/>
          <w:lang w:val="en-US" w:eastAsia="zh-CN" w:bidi="ar"/>
        </w:rPr>
        <w:t>统一收集后回用于生产</w:t>
      </w:r>
      <w:r>
        <w:rPr>
          <w:rFonts w:hint="eastAsia" w:ascii="仿宋_GB2312" w:hAnsi="Times New Roman" w:eastAsia="仿宋_GB2312" w:cs="宋体"/>
          <w:kern w:val="0"/>
          <w:sz w:val="32"/>
          <w:szCs w:val="32"/>
          <w:highlight w:val="none"/>
          <w:lang w:val="en-US" w:eastAsia="zh-CN" w:bidi="ar"/>
        </w:rPr>
        <w:t>，</w:t>
      </w:r>
      <w:r>
        <w:rPr>
          <w:rFonts w:hint="eastAsia" w:ascii="仿宋_GB2312" w:hAnsi="Times New Roman" w:eastAsia="仿宋_GB2312" w:cs="宋体"/>
          <w:color w:val="auto"/>
          <w:kern w:val="0"/>
          <w:sz w:val="32"/>
          <w:szCs w:val="32"/>
          <w:highlight w:val="none"/>
          <w:lang w:val="en-US" w:eastAsia="zh-CN" w:bidi="ar"/>
        </w:rPr>
        <w:t>废活性炭、废机油、废焦油</w:t>
      </w:r>
      <w:r>
        <w:rPr>
          <w:rFonts w:hint="eastAsia" w:ascii="仿宋_GB2312" w:hAnsi="Times New Roman" w:eastAsia="仿宋_GB2312" w:cs="宋体"/>
          <w:kern w:val="0"/>
          <w:sz w:val="32"/>
          <w:szCs w:val="32"/>
          <w:highlight w:val="none"/>
          <w:lang w:val="en-US" w:eastAsia="zh-CN" w:bidi="ar"/>
        </w:rPr>
        <w:t>等危险废物分类暂存于</w:t>
      </w:r>
      <w:r>
        <w:rPr>
          <w:rFonts w:hint="eastAsia" w:ascii="仿宋_GB2312" w:hAnsi="Times New Roman" w:eastAsia="仿宋_GB2312" w:cs="宋体"/>
          <w:strike w:val="0"/>
          <w:kern w:val="0"/>
          <w:sz w:val="32"/>
          <w:szCs w:val="32"/>
          <w:highlight w:val="none"/>
          <w:lang w:val="en-US" w:eastAsia="zh-CN" w:bidi="ar"/>
        </w:rPr>
        <w:t>厂区新建</w:t>
      </w:r>
      <w:r>
        <w:rPr>
          <w:rFonts w:hint="eastAsia" w:ascii="仿宋_GB2312" w:hAnsi="Times New Roman" w:eastAsia="仿宋_GB2312" w:cs="宋体"/>
          <w:kern w:val="0"/>
          <w:sz w:val="32"/>
          <w:szCs w:val="32"/>
          <w:highlight w:val="none"/>
          <w:lang w:val="en-US" w:eastAsia="zh-CN" w:bidi="ar"/>
        </w:rPr>
        <w:t>危险废物暂存间内，并委托有资质单位收集处置。危险废物贮存执行《危险废物贮存污染控制标准》（GB18597-2023）要求，转移管理执行《危险废物转移管理办法》（部令第23号）相关规定。</w:t>
      </w:r>
    </w:p>
    <w:p w14:paraId="546D723D">
      <w:pPr>
        <w:keepNext w:val="0"/>
        <w:keepLines w:val="0"/>
        <w:widowControl w:val="0"/>
        <w:numPr>
          <w:ilvl w:val="0"/>
          <w:numId w:val="0"/>
        </w:numPr>
        <w:suppressLineNumbers w:val="0"/>
        <w:snapToGrid w:val="0"/>
        <w:spacing w:before="0" w:beforeAutospacing="0" w:after="0" w:afterAutospacing="0" w:line="520" w:lineRule="exact"/>
        <w:ind w:left="0" w:right="0" w:firstLine="640" w:firstLineChars="200"/>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（五）土壤和地下水污染防治。按相关技术规范及《报告表》要求严格落实分区防渗措施，并加强防渗设施的日常维护。落实土壤和地下水监测制度，防止土壤及地下水污染。</w:t>
      </w:r>
    </w:p>
    <w:p w14:paraId="0FF60E75">
      <w:pPr>
        <w:keepNext w:val="0"/>
        <w:keepLines w:val="0"/>
        <w:widowControl w:val="0"/>
        <w:numPr>
          <w:ilvl w:val="0"/>
          <w:numId w:val="0"/>
        </w:numPr>
        <w:suppressLineNumbers w:val="0"/>
        <w:snapToGrid w:val="0"/>
        <w:spacing w:before="0" w:beforeAutospacing="0" w:after="0" w:afterAutospacing="0" w:line="520" w:lineRule="exact"/>
        <w:ind w:left="0" w:right="0" w:firstLine="640" w:firstLineChars="200"/>
        <w:jc w:val="both"/>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三、项目投产后新增二氧化硫排放总量</w:t>
      </w:r>
      <w:r>
        <w:rPr>
          <w:rFonts w:hint="eastAsia" w:ascii="仿宋_GB2312" w:hAnsi="仿宋_GB2312" w:eastAsia="仿宋_GB2312" w:cs="仿宋_GB2312"/>
          <w:b w:val="0"/>
          <w:kern w:val="2"/>
          <w:sz w:val="24"/>
          <w:szCs w:val="24"/>
          <w:highlight w:val="none"/>
          <w:lang w:val="en-US" w:eastAsia="zh-CN" w:bidi="ar-SA"/>
        </w:rPr>
        <w:t>≤</w:t>
      </w:r>
      <w:r>
        <w:rPr>
          <w:rFonts w:hint="eastAsia" w:ascii="仿宋_GB2312" w:hAnsi="Times New Roman" w:eastAsia="仿宋_GB2312" w:cs="宋体"/>
          <w:kern w:val="0"/>
          <w:sz w:val="32"/>
          <w:szCs w:val="32"/>
          <w:highlight w:val="none"/>
          <w:lang w:val="en-US" w:eastAsia="zh-CN" w:bidi="ar"/>
        </w:rPr>
        <w:t>0.00027吨/年、氮氧化物排放总量0.00253</w:t>
      </w:r>
      <w:r>
        <w:rPr>
          <w:rFonts w:hint="eastAsia" w:ascii="仿宋_GB2312" w:hAnsi="仿宋_GB2312" w:eastAsia="仿宋_GB2312" w:cs="仿宋_GB2312"/>
          <w:b w:val="0"/>
          <w:kern w:val="2"/>
          <w:sz w:val="24"/>
          <w:szCs w:val="24"/>
          <w:highlight w:val="none"/>
          <w:lang w:val="en-US" w:eastAsia="zh-CN" w:bidi="ar-SA"/>
        </w:rPr>
        <w:t>≤</w:t>
      </w:r>
      <w:r>
        <w:rPr>
          <w:rFonts w:hint="eastAsia" w:ascii="仿宋_GB2312" w:hAnsi="Times New Roman" w:eastAsia="仿宋_GB2312" w:cs="宋体"/>
          <w:kern w:val="0"/>
          <w:sz w:val="32"/>
          <w:szCs w:val="32"/>
          <w:highlight w:val="none"/>
          <w:lang w:val="en-US" w:eastAsia="zh-CN" w:bidi="ar"/>
        </w:rPr>
        <w:t>吨/年</w:t>
      </w:r>
      <w:r>
        <w:rPr>
          <w:rFonts w:hint="eastAsia" w:ascii="仿宋_GB2312" w:hAnsi="Times New Roman" w:eastAsia="仿宋_GB2312" w:cs="宋体"/>
          <w:strike w:val="0"/>
          <w:dstrike w:val="0"/>
          <w:kern w:val="0"/>
          <w:sz w:val="32"/>
          <w:szCs w:val="32"/>
          <w:highlight w:val="none"/>
          <w:lang w:val="en-US" w:eastAsia="zh-CN" w:bidi="ar"/>
        </w:rPr>
        <w:t>。</w:t>
      </w:r>
      <w:r>
        <w:rPr>
          <w:rFonts w:hint="eastAsia" w:ascii="仿宋_GB2312" w:hAnsi="Times New Roman" w:eastAsia="仿宋_GB2312" w:cs="宋体"/>
          <w:kern w:val="0"/>
          <w:sz w:val="32"/>
          <w:szCs w:val="32"/>
          <w:highlight w:val="none"/>
          <w:lang w:val="en-US" w:eastAsia="zh-CN" w:bidi="ar"/>
        </w:rPr>
        <w:t>项目投产前应按规定获取二氧化硫、氮氧化物总量指标。</w:t>
      </w:r>
    </w:p>
    <w:p w14:paraId="06AE66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报告表》批准后，如建设项目的性质、规模、地点、采用的生产工艺或者防治污染、防止生态破坏的措施发生重大变动的，应当依法重新报批项目环评。《报告表》自批准之日起满5年，项目方开工建设的，其环评文件应当依法报我局重新审核。</w:t>
      </w:r>
    </w:p>
    <w:p w14:paraId="37C4D17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五、项目建设应严格执行环境保护“三同时”制度，投入生产并产生实际排污行为之前，你司应认真梳理并确认各项环境保护措施落实，依法申领排污许可证并按证排污。项目投入生产后，应依法组织开展竣工环保自主验收。</w:t>
      </w:r>
    </w:p>
    <w:p w14:paraId="5C95A2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2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六、我局委托福州市生态环境保护综合执法支队开展该项目环保“三同时”监督检查，由福州市闽侯生态环境局负责该项目日常环保监督管理工作。</w:t>
      </w:r>
      <w:bookmarkStart w:id="0" w:name="_GoBack"/>
      <w:bookmarkEnd w:id="0"/>
    </w:p>
    <w:p w14:paraId="1743B426">
      <w:pPr>
        <w:pStyle w:val="5"/>
        <w:keepNext w:val="0"/>
        <w:keepLines w:val="0"/>
        <w:pageBreakBefore w:val="0"/>
        <w:widowControl/>
        <w:kinsoku/>
        <w:wordWrap/>
        <w:overflowPunct/>
        <w:topLinePunct w:val="0"/>
        <w:autoSpaceDE/>
        <w:autoSpaceDN/>
        <w:bidi w:val="0"/>
        <w:adjustRightInd/>
        <w:snapToGrid w:val="0"/>
        <w:spacing w:line="520" w:lineRule="exact"/>
        <w:ind w:right="1170" w:rightChars="557"/>
        <w:jc w:val="right"/>
        <w:textAlignment w:val="auto"/>
        <w:rPr>
          <w:rFonts w:hint="eastAsia" w:ascii="仿宋_GB2312" w:eastAsia="仿宋_GB2312" w:cs="仿宋_GB2312"/>
          <w:highlight w:val="none"/>
          <w:lang w:val="en-US"/>
        </w:rPr>
      </w:pPr>
      <w:r>
        <w:rPr>
          <w:rFonts w:hint="eastAsia" w:ascii="仿宋_GB2312" w:eastAsia="仿宋_GB2312" w:cs="仿宋_GB2312"/>
          <w:highlight w:val="none"/>
          <w:lang w:eastAsia="zh-CN"/>
        </w:rPr>
        <w:t>福州市生态环境局</w:t>
      </w:r>
    </w:p>
    <w:p w14:paraId="66436701">
      <w:pPr>
        <w:pStyle w:val="5"/>
        <w:keepNext w:val="0"/>
        <w:keepLines w:val="0"/>
        <w:pageBreakBefore w:val="0"/>
        <w:widowControl/>
        <w:kinsoku/>
        <w:wordWrap/>
        <w:overflowPunct/>
        <w:topLinePunct w:val="0"/>
        <w:autoSpaceDE/>
        <w:autoSpaceDN/>
        <w:bidi w:val="0"/>
        <w:adjustRightInd/>
        <w:snapToGrid w:val="0"/>
        <w:spacing w:line="520" w:lineRule="exact"/>
        <w:ind w:right="1170" w:rightChars="557"/>
        <w:jc w:val="right"/>
        <w:textAlignment w:val="auto"/>
        <w:rPr>
          <w:rFonts w:hint="eastAsia"/>
          <w:highlight w:val="none"/>
          <w:lang w:eastAsia="zh-CN"/>
        </w:rPr>
      </w:pPr>
      <w:r>
        <w:rPr>
          <w:rFonts w:hint="eastAsia" w:ascii="仿宋_GB2312" w:eastAsia="仿宋_GB2312" w:cs="仿宋_GB2312"/>
          <w:highlight w:val="none"/>
          <w:lang w:val="en-US"/>
        </w:rPr>
        <w:t>20</w:t>
      </w:r>
      <w:r>
        <w:rPr>
          <w:rFonts w:hint="eastAsia" w:ascii="仿宋_GB2312" w:eastAsia="仿宋_GB2312" w:cs="仿宋_GB2312"/>
          <w:highlight w:val="none"/>
          <w:lang w:val="en-US" w:eastAsia="zh-CN"/>
        </w:rPr>
        <w:t>25</w:t>
      </w:r>
      <w:r>
        <w:rPr>
          <w:rFonts w:hint="eastAsia" w:ascii="仿宋_GB2312" w:eastAsia="仿宋_GB2312" w:cs="仿宋_GB2312"/>
          <w:highlight w:val="none"/>
          <w:lang w:eastAsia="zh-CN"/>
        </w:rPr>
        <w:t>年</w:t>
      </w:r>
      <w:r>
        <w:rPr>
          <w:rFonts w:hint="eastAsia" w:ascii="仿宋_GB2312" w:eastAsia="仿宋_GB2312" w:cs="仿宋_GB2312"/>
          <w:highlight w:val="none"/>
          <w:lang w:val="en-US" w:eastAsia="zh-CN"/>
        </w:rPr>
        <w:t>9</w:t>
      </w:r>
      <w:r>
        <w:rPr>
          <w:rFonts w:hint="eastAsia" w:ascii="仿宋_GB2312" w:eastAsia="仿宋_GB2312" w:cs="仿宋_GB2312"/>
          <w:highlight w:val="none"/>
          <w:lang w:eastAsia="zh-CN"/>
        </w:rPr>
        <w:t>月</w:t>
      </w:r>
      <w:r>
        <w:rPr>
          <w:rFonts w:hint="eastAsia" w:ascii="仿宋_GB2312" w:eastAsia="仿宋_GB2312" w:cs="仿宋_GB2312"/>
          <w:highlight w:val="none"/>
          <w:lang w:val="en-US" w:eastAsia="zh-CN"/>
        </w:rPr>
        <w:t>30</w:t>
      </w:r>
      <w:r>
        <w:rPr>
          <w:rFonts w:hint="eastAsia" w:ascii="仿宋_GB2312" w:eastAsia="仿宋_GB2312" w:cs="仿宋_GB2312"/>
          <w:highlight w:val="none"/>
          <w:lang w:eastAsia="zh-CN"/>
        </w:rPr>
        <w:t>日</w:t>
      </w:r>
    </w:p>
    <w:p w14:paraId="0BCDF1C4">
      <w:pPr>
        <w:keepNext w:val="0"/>
        <w:keepLines w:val="0"/>
        <w:widowControl w:val="0"/>
        <w:suppressLineNumbers w:val="0"/>
        <w:snapToGrid w:val="0"/>
        <w:spacing w:before="0" w:beforeAutospacing="0" w:after="0" w:afterAutospacing="0"/>
        <w:ind w:left="0" w:right="0"/>
        <w:jc w:val="both"/>
        <w:rPr>
          <w:rFonts w:hint="eastAsia" w:ascii="仿宋_GB2312" w:eastAsia="仿宋_GB2312" w:cs="仿宋_GB2312"/>
          <w:highlight w:val="none"/>
          <w:lang w:val="en-US"/>
        </w:rPr>
      </w:pPr>
    </w:p>
    <w:tbl>
      <w:tblPr>
        <w:tblStyle w:val="10"/>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14:paraId="2058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14:paraId="650E2176">
            <w:pPr>
              <w:keepNext w:val="0"/>
              <w:keepLines w:val="0"/>
              <w:widowControl w:val="0"/>
              <w:suppressLineNumbers w:val="0"/>
              <w:tabs>
                <w:tab w:val="left" w:pos="3885"/>
              </w:tabs>
              <w:spacing w:before="0" w:beforeAutospacing="0" w:after="0" w:afterAutospacing="0"/>
              <w:ind w:left="0" w:right="0" w:firstLine="179" w:firstLineChars="64"/>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14:paraId="16E9F528">
            <w:pPr>
              <w:keepNext w:val="0"/>
              <w:keepLines w:val="0"/>
              <w:widowControl w:val="0"/>
              <w:suppressLineNumbers w:val="0"/>
              <w:tabs>
                <w:tab w:val="left" w:pos="3885"/>
              </w:tabs>
              <w:spacing w:before="0" w:beforeAutospacing="0" w:after="0" w:afterAutospacing="0"/>
              <w:ind w:left="0" w:right="0"/>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0"/>
                <w:highlight w:val="none"/>
                <w:lang w:val="en-US" w:eastAsia="zh-CN" w:bidi="ar"/>
              </w:rPr>
              <w:t>福州市生态环境保护综合执法支队，福州市闽侯生态环境局，福建金瑞企业管理咨询有限公司。</w:t>
            </w:r>
          </w:p>
        </w:tc>
      </w:tr>
      <w:tr w14:paraId="680F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14:paraId="1EFE1F86">
            <w:pPr>
              <w:keepNext w:val="0"/>
              <w:keepLines w:val="0"/>
              <w:widowControl w:val="0"/>
              <w:suppressLineNumbers w:val="0"/>
              <w:tabs>
                <w:tab w:val="left" w:pos="3885"/>
              </w:tabs>
              <w:spacing w:before="0" w:beforeAutospacing="0" w:after="0" w:afterAutospacing="0"/>
              <w:ind w:left="0" w:right="0" w:firstLine="179" w:firstLineChars="64"/>
              <w:jc w:val="both"/>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14:paraId="35AC3E08">
            <w:pPr>
              <w:keepNext w:val="0"/>
              <w:keepLines w:val="0"/>
              <w:widowControl w:val="0"/>
              <w:suppressLineNumbers w:val="0"/>
              <w:tabs>
                <w:tab w:val="left" w:pos="3882"/>
                <w:tab w:val="left" w:pos="3987"/>
              </w:tabs>
              <w:spacing w:before="0" w:beforeAutospacing="0" w:after="0" w:afterAutospacing="0"/>
              <w:ind w:left="0" w:right="311" w:rightChars="148"/>
              <w:jc w:val="right"/>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2025年9月30日印发</w:t>
            </w:r>
          </w:p>
        </w:tc>
      </w:tr>
      <w:tr w14:paraId="4AE6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5" w:type="dxa"/>
            <w:tcBorders>
              <w:top w:val="nil"/>
              <w:left w:val="nil"/>
              <w:bottom w:val="nil"/>
              <w:right w:val="nil"/>
            </w:tcBorders>
            <w:shd w:val="clear" w:color="auto" w:fill="auto"/>
            <w:vAlign w:val="center"/>
          </w:tcPr>
          <w:p w14:paraId="55FAE8CE">
            <w:pPr>
              <w:rPr>
                <w:rFonts w:hint="eastAsia" w:ascii="宋体"/>
                <w:sz w:val="24"/>
                <w:szCs w:val="24"/>
                <w:highlight w:val="none"/>
              </w:rPr>
            </w:pPr>
          </w:p>
        </w:tc>
        <w:tc>
          <w:tcPr>
            <w:tcW w:w="3885" w:type="dxa"/>
            <w:tcBorders>
              <w:top w:val="nil"/>
              <w:left w:val="nil"/>
              <w:bottom w:val="nil"/>
              <w:right w:val="nil"/>
            </w:tcBorders>
            <w:shd w:val="clear" w:color="auto" w:fill="auto"/>
            <w:vAlign w:val="center"/>
          </w:tcPr>
          <w:p w14:paraId="52495348">
            <w:pPr>
              <w:rPr>
                <w:rFonts w:hint="eastAsia" w:ascii="宋体"/>
                <w:sz w:val="24"/>
                <w:szCs w:val="24"/>
                <w:highlight w:val="none"/>
              </w:rPr>
            </w:pPr>
          </w:p>
        </w:tc>
        <w:tc>
          <w:tcPr>
            <w:tcW w:w="3675" w:type="dxa"/>
            <w:tcBorders>
              <w:top w:val="nil"/>
              <w:left w:val="nil"/>
              <w:bottom w:val="nil"/>
              <w:right w:val="nil"/>
            </w:tcBorders>
            <w:shd w:val="clear" w:color="auto" w:fill="auto"/>
            <w:vAlign w:val="center"/>
          </w:tcPr>
          <w:p w14:paraId="00F06EBD">
            <w:pPr>
              <w:rPr>
                <w:rFonts w:hint="eastAsia" w:ascii="宋体"/>
                <w:sz w:val="24"/>
                <w:szCs w:val="24"/>
                <w:highlight w:val="none"/>
              </w:rPr>
            </w:pPr>
          </w:p>
        </w:tc>
      </w:tr>
    </w:tbl>
    <w:p w14:paraId="484DF080">
      <w:pPr>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30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CE73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ACE734">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C3025"/>
    <w:multiLevelType w:val="singleLevel"/>
    <w:tmpl w:val="F75C3025"/>
    <w:lvl w:ilvl="0" w:tentative="0">
      <w:start w:val="1"/>
      <w:numFmt w:val="chineseCounting"/>
      <w:suff w:val="nothing"/>
      <w:lvlText w:val="（%1）"/>
      <w:lvlJc w:val="left"/>
      <w:rPr>
        <w:rFonts w:hint="eastAsia"/>
      </w:rPr>
    </w:lvl>
  </w:abstractNum>
  <w:abstractNum w:abstractNumId="1">
    <w:nsid w:val="2B0E5361"/>
    <w:multiLevelType w:val="singleLevel"/>
    <w:tmpl w:val="2B0E536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0D055EE"/>
    <w:rsid w:val="01DD6FC1"/>
    <w:rsid w:val="04B97894"/>
    <w:rsid w:val="06412598"/>
    <w:rsid w:val="065C1D7B"/>
    <w:rsid w:val="076B63F8"/>
    <w:rsid w:val="07B76A03"/>
    <w:rsid w:val="08877123"/>
    <w:rsid w:val="09194B83"/>
    <w:rsid w:val="097912D2"/>
    <w:rsid w:val="0A0259D4"/>
    <w:rsid w:val="0A537496"/>
    <w:rsid w:val="0A7B2C42"/>
    <w:rsid w:val="0CFC23E2"/>
    <w:rsid w:val="0D9C4648"/>
    <w:rsid w:val="0EBC0E2F"/>
    <w:rsid w:val="0FBE4740"/>
    <w:rsid w:val="121E2D9F"/>
    <w:rsid w:val="123E696C"/>
    <w:rsid w:val="12D0457D"/>
    <w:rsid w:val="12D23BBF"/>
    <w:rsid w:val="1339568F"/>
    <w:rsid w:val="14E4368B"/>
    <w:rsid w:val="15B63938"/>
    <w:rsid w:val="15DF1C70"/>
    <w:rsid w:val="16C049E6"/>
    <w:rsid w:val="17376763"/>
    <w:rsid w:val="17C02571"/>
    <w:rsid w:val="185C0C0F"/>
    <w:rsid w:val="19F13A89"/>
    <w:rsid w:val="1A07082D"/>
    <w:rsid w:val="1A2D6D57"/>
    <w:rsid w:val="20835F2C"/>
    <w:rsid w:val="208F6B19"/>
    <w:rsid w:val="213F3844"/>
    <w:rsid w:val="219278A5"/>
    <w:rsid w:val="23A338CC"/>
    <w:rsid w:val="23D1267C"/>
    <w:rsid w:val="23ED5533"/>
    <w:rsid w:val="240110B0"/>
    <w:rsid w:val="264F7B2D"/>
    <w:rsid w:val="26F17F87"/>
    <w:rsid w:val="26FA4A88"/>
    <w:rsid w:val="28A86FC8"/>
    <w:rsid w:val="28BF746D"/>
    <w:rsid w:val="2A021261"/>
    <w:rsid w:val="2A7F762B"/>
    <w:rsid w:val="2BDE7E49"/>
    <w:rsid w:val="2C7B0035"/>
    <w:rsid w:val="2CAD0908"/>
    <w:rsid w:val="2CB668AB"/>
    <w:rsid w:val="2E214D74"/>
    <w:rsid w:val="2F652F3C"/>
    <w:rsid w:val="30096A34"/>
    <w:rsid w:val="306223AB"/>
    <w:rsid w:val="31DF7D29"/>
    <w:rsid w:val="32432891"/>
    <w:rsid w:val="3428200A"/>
    <w:rsid w:val="344B15E7"/>
    <w:rsid w:val="34565CE1"/>
    <w:rsid w:val="34B92A27"/>
    <w:rsid w:val="34E11855"/>
    <w:rsid w:val="353A30CF"/>
    <w:rsid w:val="38EE2201"/>
    <w:rsid w:val="396A64FB"/>
    <w:rsid w:val="396B7625"/>
    <w:rsid w:val="3B0F3019"/>
    <w:rsid w:val="3B60789B"/>
    <w:rsid w:val="3C461732"/>
    <w:rsid w:val="3DB945F5"/>
    <w:rsid w:val="3F542FD5"/>
    <w:rsid w:val="3FD71583"/>
    <w:rsid w:val="402C102B"/>
    <w:rsid w:val="41976E73"/>
    <w:rsid w:val="438B4B5B"/>
    <w:rsid w:val="43CA10AF"/>
    <w:rsid w:val="45314B84"/>
    <w:rsid w:val="45F92FCA"/>
    <w:rsid w:val="461F4753"/>
    <w:rsid w:val="47C411B6"/>
    <w:rsid w:val="49014440"/>
    <w:rsid w:val="49641AB4"/>
    <w:rsid w:val="4A036A2B"/>
    <w:rsid w:val="4A69668E"/>
    <w:rsid w:val="4A810DC1"/>
    <w:rsid w:val="4B2126A9"/>
    <w:rsid w:val="4B456184"/>
    <w:rsid w:val="4B7C4AE4"/>
    <w:rsid w:val="4B997BD4"/>
    <w:rsid w:val="4BC03622"/>
    <w:rsid w:val="4C1E048A"/>
    <w:rsid w:val="4C547C35"/>
    <w:rsid w:val="4CD339FE"/>
    <w:rsid w:val="4DB67CDD"/>
    <w:rsid w:val="4E576091"/>
    <w:rsid w:val="4ED41923"/>
    <w:rsid w:val="5328504E"/>
    <w:rsid w:val="53325C92"/>
    <w:rsid w:val="533A7710"/>
    <w:rsid w:val="55473069"/>
    <w:rsid w:val="56DD30D8"/>
    <w:rsid w:val="56E43FD0"/>
    <w:rsid w:val="5773682D"/>
    <w:rsid w:val="57DF4FEB"/>
    <w:rsid w:val="59251C1A"/>
    <w:rsid w:val="59790483"/>
    <w:rsid w:val="59892D82"/>
    <w:rsid w:val="5A626A26"/>
    <w:rsid w:val="5A7A005C"/>
    <w:rsid w:val="5AB30E80"/>
    <w:rsid w:val="5BC855A2"/>
    <w:rsid w:val="5CB956CE"/>
    <w:rsid w:val="5D8466D6"/>
    <w:rsid w:val="5DF8536F"/>
    <w:rsid w:val="60180CAA"/>
    <w:rsid w:val="61464082"/>
    <w:rsid w:val="61AC3705"/>
    <w:rsid w:val="61BD2347"/>
    <w:rsid w:val="63F47B11"/>
    <w:rsid w:val="64856EDB"/>
    <w:rsid w:val="674F436D"/>
    <w:rsid w:val="69AA484A"/>
    <w:rsid w:val="6BA34C13"/>
    <w:rsid w:val="6C2A2F12"/>
    <w:rsid w:val="6C2E3E36"/>
    <w:rsid w:val="6CA5599E"/>
    <w:rsid w:val="6CC830E5"/>
    <w:rsid w:val="6D0A06B5"/>
    <w:rsid w:val="6D8945FB"/>
    <w:rsid w:val="6E6E2E44"/>
    <w:rsid w:val="6E8B3F62"/>
    <w:rsid w:val="6F460731"/>
    <w:rsid w:val="706B42B2"/>
    <w:rsid w:val="731146F1"/>
    <w:rsid w:val="747D1E1E"/>
    <w:rsid w:val="747F4DDA"/>
    <w:rsid w:val="749C56FE"/>
    <w:rsid w:val="758F2C99"/>
    <w:rsid w:val="75B546C3"/>
    <w:rsid w:val="75F77103"/>
    <w:rsid w:val="76CA152F"/>
    <w:rsid w:val="77304AEA"/>
    <w:rsid w:val="783B4C00"/>
    <w:rsid w:val="78940811"/>
    <w:rsid w:val="78BA7585"/>
    <w:rsid w:val="79737B05"/>
    <w:rsid w:val="7CC80452"/>
    <w:rsid w:val="7CDA4005"/>
    <w:rsid w:val="7D987452"/>
    <w:rsid w:val="7DC97B37"/>
    <w:rsid w:val="7F2E1CFF"/>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0"/>
    <w:pPr>
      <w:spacing w:after="120"/>
      <w:ind w:left="420" w:leftChars="200"/>
    </w:pPr>
  </w:style>
  <w:style w:type="paragraph" w:styleId="5">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spacing w:after="0" w:line="420" w:lineRule="exact"/>
      <w:ind w:left="0" w:leftChars="0" w:firstLine="420"/>
    </w:pPr>
    <w:rPr>
      <w:rFonts w:ascii="仿宋_GB2312" w:eastAsia="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5文章(治) Char"/>
    <w:basedOn w:val="12"/>
    <w:qFormat/>
    <w:uiPriority w:val="0"/>
    <w:rPr>
      <w:rFonts w:hint="eastAsia" w:ascii="楷体_GB2312" w:eastAsia="楷体_GB2312" w:cs="楷体_GB2312"/>
      <w:kern w:val="2"/>
      <w:sz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1510</Words>
  <Characters>1639</Characters>
  <Lines>0</Lines>
  <Paragraphs>0</Paragraphs>
  <TotalTime>4</TotalTime>
  <ScaleCrop>false</ScaleCrop>
  <LinksUpToDate>false</LinksUpToDate>
  <CharactersWithSpaces>1640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baby</cp:lastModifiedBy>
  <cp:lastPrinted>2024-10-21T03:56:00Z</cp:lastPrinted>
  <dcterms:modified xsi:type="dcterms:W3CDTF">2025-09-30T07:02:24Z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07A162A2473042D587B95B9EDB6B78DC_12</vt:lpwstr>
  </property>
  <property fmtid="{D5CDD505-2E9C-101B-9397-08002B2CF9AE}" pid="4" name="KSOTemplateDocerSaveRecord">
    <vt:lpwstr>eyJoZGlkIjoiMGQxMGM2NWJlN2Q1ZTkzMWY3Y2U5YTgzOTNjODgxZTIiLCJ1c2VySWQiOiIxMTIzNjQ4OTY3In0=</vt:lpwstr>
  </property>
</Properties>
</file>