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pageBreakBefore w:val="0"/>
        <w:widowControl w:val="0"/>
        <w:kinsoku/>
        <w:overflowPunct/>
        <w:topLinePunct w:val="0"/>
        <w:autoSpaceDE/>
        <w:autoSpaceDN/>
        <w:bidi w:val="0"/>
        <w:adjustRightInd/>
        <w:spacing w:line="520" w:lineRule="atLeast"/>
        <w:textAlignment w:val="auto"/>
        <w:rPr>
          <w:rFonts w:hint="eastAsia"/>
        </w:rPr>
      </w:pPr>
      <w:r>
        <w:rPr>
          <w:rFonts w:hint="eastAsia"/>
        </w:rPr>
        <w:t>榕环评〔202</w:t>
      </w:r>
      <w:r>
        <w:rPr>
          <w:rFonts w:hint="eastAsia"/>
          <w:lang w:eastAsia="zh-CN"/>
        </w:rPr>
        <w:t>5</w:t>
      </w:r>
      <w:r>
        <w:rPr>
          <w:rFonts w:hint="eastAsia"/>
        </w:rPr>
        <w:t>〕</w:t>
      </w:r>
      <w:r>
        <w:rPr>
          <w:rFonts w:hint="eastAsia"/>
          <w:highlight w:val="none"/>
          <w:lang w:val="en-US" w:eastAsia="zh-CN"/>
        </w:rPr>
        <w:t>28</w:t>
      </w:r>
      <w:r>
        <w:rPr>
          <w:rFonts w:hint="eastAsia"/>
        </w:rPr>
        <w:t>号</w:t>
      </w:r>
    </w:p>
    <w:p>
      <w:pPr>
        <w:keepNext w:val="0"/>
        <w:keepLines w:val="0"/>
        <w:pageBreakBefore w:val="0"/>
        <w:widowControl w:val="0"/>
        <w:kinsoku/>
        <w:wordWrap/>
        <w:overflowPunct/>
        <w:topLinePunct w:val="0"/>
        <w:autoSpaceDE/>
        <w:autoSpaceDN/>
        <w:bidi w:val="0"/>
        <w:adjustRightInd/>
        <w:spacing w:line="600" w:lineRule="exact"/>
        <w:ind w:firstLine="0" w:firstLineChars="0"/>
        <w:jc w:val="center"/>
        <w:textAlignment w:val="auto"/>
        <w:rPr>
          <w:rFonts w:hint="eastAsia" w:ascii="长城小标宋体" w:hAnsi="Times New Roman" w:eastAsia="长城小标宋体" w:cs="Times New Roman"/>
          <w:b/>
          <w:bCs/>
          <w:color w:val="auto"/>
          <w:sz w:val="40"/>
          <w:szCs w:val="40"/>
          <w:highlight w:val="none"/>
        </w:rPr>
      </w:pPr>
      <w:r>
        <w:rPr>
          <w:rFonts w:hint="eastAsia" w:ascii="长城小标宋体" w:hAnsi="Times New Roman" w:eastAsia="长城小标宋体" w:cs="Times New Roman"/>
          <w:b/>
          <w:bCs/>
          <w:color w:val="auto"/>
          <w:sz w:val="40"/>
          <w:szCs w:val="40"/>
          <w:highlight w:val="none"/>
        </w:rPr>
        <w:t>福州</w:t>
      </w:r>
      <w:r>
        <w:rPr>
          <w:rFonts w:hint="eastAsia" w:ascii="长城小标宋体" w:hAnsi="Times New Roman" w:eastAsia="长城小标宋体" w:cs="Times New Roman"/>
          <w:b/>
          <w:bCs/>
          <w:color w:val="auto"/>
          <w:sz w:val="40"/>
          <w:szCs w:val="40"/>
          <w:highlight w:val="none"/>
          <w:lang w:eastAsia="zh-CN"/>
        </w:rPr>
        <w:t>市生态环境</w:t>
      </w:r>
      <w:r>
        <w:rPr>
          <w:rFonts w:hint="eastAsia" w:ascii="长城小标宋体" w:hAnsi="Times New Roman" w:eastAsia="长城小标宋体" w:cs="Times New Roman"/>
          <w:b/>
          <w:bCs/>
          <w:color w:val="auto"/>
          <w:sz w:val="40"/>
          <w:szCs w:val="40"/>
          <w:highlight w:val="none"/>
        </w:rPr>
        <w:t>局</w:t>
      </w:r>
    </w:p>
    <w:p>
      <w:pPr>
        <w:keepNext w:val="0"/>
        <w:keepLines w:val="0"/>
        <w:pageBreakBefore w:val="0"/>
        <w:widowControl w:val="0"/>
        <w:kinsoku/>
        <w:wordWrap/>
        <w:overflowPunct/>
        <w:topLinePunct w:val="0"/>
        <w:autoSpaceDE/>
        <w:autoSpaceDN/>
        <w:bidi w:val="0"/>
        <w:adjustRightInd/>
        <w:spacing w:line="600" w:lineRule="exact"/>
        <w:ind w:firstLine="0" w:firstLineChars="0"/>
        <w:jc w:val="center"/>
        <w:textAlignment w:val="auto"/>
        <w:rPr>
          <w:rFonts w:hint="eastAsia" w:ascii="长城小标宋体" w:hAnsi="Times New Roman" w:eastAsia="长城小标宋体" w:cs="Times New Roman"/>
          <w:b/>
          <w:bCs/>
          <w:color w:val="auto"/>
          <w:sz w:val="40"/>
          <w:szCs w:val="40"/>
          <w:highlight w:val="none"/>
          <w:lang w:eastAsia="zh-CN"/>
        </w:rPr>
      </w:pPr>
      <w:r>
        <w:rPr>
          <w:rFonts w:hint="eastAsia" w:ascii="长城小标宋体" w:hAnsi="Times New Roman" w:eastAsia="长城小标宋体" w:cs="Times New Roman"/>
          <w:b/>
          <w:bCs/>
          <w:color w:val="auto"/>
          <w:sz w:val="40"/>
          <w:szCs w:val="40"/>
          <w:highlight w:val="none"/>
          <w:lang w:eastAsia="zh-CN"/>
        </w:rPr>
        <w:t>关于连江县生活垃圾焚烧发电掺烧一般工业固废</w:t>
      </w:r>
    </w:p>
    <w:p>
      <w:pPr>
        <w:keepNext w:val="0"/>
        <w:keepLines w:val="0"/>
        <w:pageBreakBefore w:val="0"/>
        <w:widowControl w:val="0"/>
        <w:kinsoku/>
        <w:wordWrap/>
        <w:overflowPunct/>
        <w:topLinePunct w:val="0"/>
        <w:autoSpaceDE/>
        <w:autoSpaceDN/>
        <w:bidi w:val="0"/>
        <w:adjustRightInd/>
        <w:spacing w:line="600" w:lineRule="exact"/>
        <w:ind w:firstLine="0" w:firstLineChars="0"/>
        <w:jc w:val="center"/>
        <w:textAlignment w:val="auto"/>
        <w:rPr>
          <w:rFonts w:hint="eastAsia"/>
          <w:highlight w:val="yellow"/>
        </w:rPr>
      </w:pPr>
      <w:r>
        <w:rPr>
          <w:rFonts w:hint="eastAsia" w:ascii="长城小标宋体" w:hAnsi="Times New Roman" w:eastAsia="长城小标宋体" w:cs="Times New Roman"/>
          <w:b/>
          <w:bCs/>
          <w:color w:val="auto"/>
          <w:sz w:val="40"/>
          <w:szCs w:val="40"/>
          <w:highlight w:val="none"/>
          <w:lang w:eastAsia="zh-CN"/>
        </w:rPr>
        <w:t>技改</w:t>
      </w:r>
      <w:r>
        <w:rPr>
          <w:rFonts w:hint="eastAsia" w:ascii="长城小标宋体" w:hAnsi="Times New Roman" w:eastAsia="长城小标宋体" w:cs="Times New Roman"/>
          <w:b/>
          <w:bCs/>
          <w:color w:val="auto"/>
          <w:sz w:val="40"/>
          <w:szCs w:val="40"/>
          <w:highlight w:val="none"/>
        </w:rPr>
        <w:t>环境影响报告书的审批意见</w:t>
      </w:r>
    </w:p>
    <w:p>
      <w:pPr>
        <w:pageBreakBefore w:val="0"/>
        <w:widowControl w:val="0"/>
        <w:kinsoku/>
        <w:overflowPunct/>
        <w:topLinePunct w:val="0"/>
        <w:autoSpaceDE/>
        <w:autoSpaceDN/>
        <w:bidi w:val="0"/>
        <w:adjustRightInd/>
        <w:spacing w:line="520" w:lineRule="atLeast"/>
        <w:textAlignment w:val="auto"/>
        <w:rPr>
          <w:rFonts w:hint="eastAsia" w:eastAsia="仿宋_GB2312"/>
          <w:highlight w:val="yellow"/>
          <w:lang w:val="en-US" w:eastAsia="zh-CN"/>
        </w:rPr>
      </w:pPr>
    </w:p>
    <w:p>
      <w:pPr>
        <w:pStyle w:val="20"/>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highlight w:val="yellow"/>
        </w:rPr>
      </w:pPr>
      <w:r>
        <w:rPr>
          <w:rFonts w:hint="eastAsia"/>
          <w:highlight w:val="none"/>
        </w:rPr>
        <w:t>福州天楹环保能源有限公司：</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highlight w:val="none"/>
          <w:lang w:val="en-US" w:eastAsia="zh-CN"/>
        </w:rPr>
      </w:pPr>
      <w:r>
        <w:rPr>
          <w:rFonts w:hint="eastAsia"/>
          <w:highlight w:val="none"/>
          <w:lang w:val="en-US" w:eastAsia="zh-CN"/>
        </w:rPr>
        <w:t>你司报送的《连江县生活垃圾焚烧发电掺烧一般工业固废技改环境影响评价报告书》（以下简称《报告书》）及申请审批报告收悉。根据《中华人民共和国环境影响评价法》第二十二条等规定，经组织技术审查，并征求福州市连江生态环境局意见，现提出审批意见如下：</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color w:val="000000" w:themeColor="text1"/>
          <w:highlight w:val="none"/>
          <w:lang w:val="en-US" w:eastAsia="zh-CN"/>
          <w14:textFill>
            <w14:solidFill>
              <w14:schemeClr w14:val="tx1"/>
            </w14:solidFill>
          </w14:textFill>
        </w:rPr>
      </w:pPr>
      <w:r>
        <w:rPr>
          <w:rFonts w:hint="eastAsia"/>
          <w:highlight w:val="none"/>
          <w:lang w:val="en-US" w:eastAsia="zh-CN"/>
        </w:rPr>
        <w:t>一、连江县生活垃圾焚烧发电掺烧一般工业固废技改项目位于福州市连江县东湖镇飞石村国优北路217号，现连江县生活垃圾焚烧发电厂内</w:t>
      </w:r>
      <w:r>
        <w:rPr>
          <w:rFonts w:hint="eastAsia"/>
          <w:color w:val="000000" w:themeColor="text1"/>
          <w:highlight w:val="none"/>
          <w:lang w:val="en-US" w:eastAsia="zh-CN"/>
          <w14:textFill>
            <w14:solidFill>
              <w14:schemeClr w14:val="tx1"/>
            </w14:solidFill>
          </w14:textFill>
        </w:rPr>
        <w:t>。项目拟在原焚烧生活垃圾基础上，协同处置一般工业固废、城镇生活污水厂污泥，并维持现有总处理规模1000t/d不变。</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default"/>
          <w:highlight w:val="none"/>
          <w:lang w:val="en-US" w:eastAsia="zh-CN"/>
        </w:rPr>
      </w:pPr>
      <w:r>
        <w:rPr>
          <w:rFonts w:hint="eastAsia"/>
          <w:highlight w:val="none"/>
          <w:lang w:val="en-US" w:eastAsia="zh-CN"/>
        </w:rPr>
        <w:t>根据《报告书》评价结论和福州市环境影响评价技术中心的技术评估报告（编号2-2025-009），</w:t>
      </w:r>
      <w:r>
        <w:rPr>
          <w:rFonts w:hint="eastAsia"/>
          <w:highlight w:val="none"/>
        </w:rPr>
        <w:t>该</w:t>
      </w:r>
      <w:r>
        <w:rPr>
          <w:rFonts w:hint="eastAsia"/>
          <w:highlight w:val="none"/>
          <w:lang w:eastAsia="zh-CN"/>
        </w:rPr>
        <w:t>项目建设符合国家产业政策和福州市生态环境分区管控要求，符合《福建省生活垃圾焚烧发电中长期专项规划（2019-2030年）》《连江县国土空间总体规划（2021-2035年）》等规划</w:t>
      </w:r>
      <w:r>
        <w:rPr>
          <w:rFonts w:hint="eastAsia"/>
          <w:color w:val="000000" w:themeColor="text1"/>
          <w:highlight w:val="none"/>
          <w:lang w:val="en-US" w:eastAsia="zh-CN"/>
          <w14:textFill>
            <w14:solidFill>
              <w14:schemeClr w14:val="tx1"/>
            </w14:solidFill>
          </w14:textFill>
        </w:rPr>
        <w:t>要求</w:t>
      </w:r>
      <w:r>
        <w:rPr>
          <w:rFonts w:hint="eastAsia"/>
          <w:highlight w:val="none"/>
          <w:lang w:val="en-US" w:eastAsia="zh-CN"/>
        </w:rPr>
        <w:t>。在严格落实环保“三同时”制度，认真落实《报告书》提出的各项生态环境保护和环境风险防控措施，加强环境管理的前提下，从环境影响角度分析，项目建设可行。我局原则同意《报告书》中所列建设项目的性质、规模、地点、工艺和拟采取的环境保护对策措施。</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highlight w:val="none"/>
          <w:lang w:eastAsia="zh-CN"/>
        </w:rPr>
      </w:pPr>
      <w:r>
        <w:rPr>
          <w:rFonts w:hint="eastAsia"/>
          <w:highlight w:val="none"/>
          <w:lang w:val="en-US" w:eastAsia="zh-CN"/>
        </w:rPr>
        <w:t>二、</w:t>
      </w:r>
      <w:r>
        <w:rPr>
          <w:rFonts w:hint="eastAsia"/>
          <w:highlight w:val="none"/>
          <w:lang w:eastAsia="zh-CN"/>
        </w:rPr>
        <w:t>项目各类污染物防治措施均依托厂内现有污染物收集和治理设施，你司在项目设计、建设和运营中应认真落实《报告书》提出的各项生态环境保护和环境风险防范要求，确保各项污染物稳定达标排放</w:t>
      </w:r>
      <w:r>
        <w:rPr>
          <w:rFonts w:hint="eastAsia"/>
          <w:color w:val="000000" w:themeColor="text1"/>
          <w:highlight w:val="none"/>
          <w:lang w:eastAsia="zh-CN"/>
          <w14:textFill>
            <w14:solidFill>
              <w14:schemeClr w14:val="tx1"/>
            </w14:solidFill>
          </w14:textFill>
        </w:rPr>
        <w:t>，</w:t>
      </w:r>
      <w:r>
        <w:rPr>
          <w:rFonts w:hint="eastAsia"/>
          <w:highlight w:val="none"/>
          <w:lang w:eastAsia="zh-CN"/>
        </w:rPr>
        <w:t>重点做好以下工作：</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b w:val="0"/>
          <w:bCs w:val="0"/>
          <w:highlight w:val="none"/>
          <w:lang w:val="en-US" w:eastAsia="zh-CN"/>
        </w:rPr>
      </w:pPr>
      <w:r>
        <w:rPr>
          <w:rFonts w:hint="eastAsia"/>
          <w:b w:val="0"/>
          <w:bCs w:val="0"/>
          <w:highlight w:val="none"/>
          <w:lang w:val="en-US" w:eastAsia="zh-CN"/>
        </w:rPr>
        <w:t>（一）应做好现有工程环境管理工作，并按照《报告书》提出的“以新带老”要求，对现有工程存在的主要环保问题及时完成整改。你司应尽快落实飞灰填埋场腐殖土异位回填项目，确保填埋场库容满足本项目技改后飞灰填埋需求。</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b w:val="0"/>
          <w:bCs w:val="0"/>
          <w:highlight w:val="none"/>
          <w:lang w:val="en-US" w:eastAsia="zh-CN"/>
        </w:rPr>
      </w:pPr>
      <w:r>
        <w:rPr>
          <w:rFonts w:hint="eastAsia"/>
          <w:b w:val="0"/>
          <w:bCs w:val="0"/>
          <w:highlight w:val="none"/>
          <w:lang w:val="en-US" w:eastAsia="zh-CN"/>
        </w:rPr>
        <w:t>（二）进一步优化总体布局、工艺路线和设计方案，提高清洁生产水平，采用先进技术、工艺和装备，强化各装置节能、降耗、减排措施，从源头减少污染物产生。</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default"/>
          <w:highlight w:val="none"/>
          <w:lang w:val="en-US" w:eastAsia="zh-CN"/>
        </w:rPr>
      </w:pPr>
      <w:r>
        <w:rPr>
          <w:rFonts w:hint="eastAsia"/>
          <w:b w:val="0"/>
          <w:bCs w:val="0"/>
          <w:highlight w:val="none"/>
          <w:lang w:val="en-US" w:eastAsia="zh-CN"/>
        </w:rPr>
        <w:t>（三）</w:t>
      </w:r>
      <w:r>
        <w:rPr>
          <w:rFonts w:hint="eastAsia"/>
          <w:b w:val="0"/>
          <w:bCs w:val="0"/>
          <w:color w:val="000000" w:themeColor="text1"/>
          <w:highlight w:val="none"/>
          <w:lang w:val="en-US" w:eastAsia="zh-CN"/>
          <w14:textFill>
            <w14:solidFill>
              <w14:schemeClr w14:val="tx1"/>
            </w14:solidFill>
          </w14:textFill>
        </w:rPr>
        <w:t>落实运输过程中环境影响防治措施。你司应按《报告书》要求严格限制掺烧对象，不得接收危险废物，并要求生活垃圾、一般工业固体废物和污水处理厂污泥运输单位按规定路线运输，避让生活饮用水水源地；污泥运输途中不得停靠和中转，严禁将污泥向环境中倾倒、丢弃、遗洒，运输途中发现污泥泄漏应及时采取措施控制污染。</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b w:val="0"/>
          <w:bCs w:val="0"/>
          <w:highlight w:val="none"/>
          <w:lang w:val="en-US" w:eastAsia="zh-CN"/>
        </w:rPr>
      </w:pPr>
      <w:r>
        <w:rPr>
          <w:rFonts w:hint="eastAsia"/>
          <w:b w:val="0"/>
          <w:bCs w:val="0"/>
          <w:highlight w:val="none"/>
          <w:lang w:val="en-US" w:eastAsia="zh-CN"/>
        </w:rPr>
        <w:t>（四）完善项目生产过程中环境保护措施。你司在项目运行过程中应加强生产管理，做好现有各类生产设施、污染物收集和治理设施的日常维护管理，保证治理设施正常运行，严格控制无组织排放的环境影响，并确保非正常工况下的响应措施运行有效，严控乃至杜绝事故性排放。你司应及时修编企业突发环境事件应急预案并报连江生态环境局备案。渗滤液处理站污泥应进行鉴别，鉴别前临时贮存于飞灰贮存间，鉴别后若为一般工业固废，则送厂区焚烧炉焚烧，若为危险废物，应定期委托有资质单位处置。</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b w:val="0"/>
          <w:bCs w:val="0"/>
          <w:highlight w:val="none"/>
          <w:lang w:val="en-US" w:eastAsia="zh-CN"/>
        </w:rPr>
      </w:pPr>
      <w:r>
        <w:rPr>
          <w:rFonts w:hint="eastAsia"/>
          <w:b w:val="0"/>
          <w:bCs w:val="0"/>
          <w:highlight w:val="none"/>
          <w:lang w:val="en-US" w:eastAsia="zh-CN"/>
        </w:rPr>
        <w:t>三、污染物排放标准</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highlight w:val="none"/>
          <w:lang w:val="en-US" w:eastAsia="zh-CN"/>
        </w:rPr>
      </w:pPr>
      <w:r>
        <w:rPr>
          <w:rFonts w:hint="eastAsia"/>
          <w:b w:val="0"/>
          <w:bCs w:val="0"/>
          <w:color w:val="auto"/>
          <w:highlight w:val="none"/>
          <w:lang w:val="en-US" w:eastAsia="zh-CN"/>
        </w:rPr>
        <w:t>（一）废水。垃圾卸料大厅、垃圾车辆及车间地面冲洗污水、初期雨水等高浓度生产废水经厂内渗滤液处理站处理后接入市政污水管网纳入连江县城区污水处理厂集中处理，废水中第一类污染物（总汞、总镉、总铬、六价铬、总砷、总铅）执行《生活垃圾填埋场污染控制标准》（GB16889-2024）表2中的排放浓度限值，pH、COD、BOD</w:t>
      </w:r>
      <w:r>
        <w:rPr>
          <w:rFonts w:hint="eastAsia"/>
          <w:b w:val="0"/>
          <w:bCs w:val="0"/>
          <w:color w:val="auto"/>
          <w:highlight w:val="none"/>
          <w:vertAlign w:val="subscript"/>
          <w:lang w:val="en-US" w:eastAsia="zh-CN"/>
        </w:rPr>
        <w:t>5</w:t>
      </w:r>
      <w:r>
        <w:rPr>
          <w:rFonts w:hint="eastAsia"/>
          <w:b w:val="0"/>
          <w:bCs w:val="0"/>
          <w:color w:val="auto"/>
          <w:highlight w:val="none"/>
          <w:lang w:val="en-US" w:eastAsia="zh-CN"/>
        </w:rPr>
        <w:t>、SS执行《污水综合排放标准》（GB8978-1996）表4中三级标准；厂内生活污水、化验室废水、化水系统排水、锅炉排水接入市政污水管网纳入连江县城区污水处理厂集中处理执行《污水综合排放标准》（GB8978-1996）表4三级标准限值。</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b w:val="0"/>
          <w:bCs w:val="0"/>
          <w:highlight w:val="none"/>
          <w:lang w:val="en-US" w:eastAsia="zh-CN"/>
        </w:rPr>
      </w:pPr>
      <w:r>
        <w:rPr>
          <w:rFonts w:hint="eastAsia"/>
          <w:b w:val="0"/>
          <w:bCs w:val="0"/>
          <w:highlight w:val="none"/>
          <w:lang w:val="en-US" w:eastAsia="zh-CN"/>
        </w:rPr>
        <w:t>（二）废气。本项目技改后焚烧烟气中氮氧化物执行福建省地方标准《生活垃圾焚烧氮氧化物排放标准》（DB35/1976-2021）表1排放限值，其他因子执行《生活垃圾焚烧污染控制标准》（GB18485-2014）及修改单中标准限值要求。恶臭气体中NH</w:t>
      </w:r>
      <w:r>
        <w:rPr>
          <w:rFonts w:hint="eastAsia"/>
          <w:b w:val="0"/>
          <w:bCs w:val="0"/>
          <w:highlight w:val="none"/>
          <w:vertAlign w:val="subscript"/>
          <w:lang w:val="en-US" w:eastAsia="zh-CN"/>
        </w:rPr>
        <w:t>3</w:t>
      </w:r>
      <w:r>
        <w:rPr>
          <w:rFonts w:hint="eastAsia"/>
          <w:b w:val="0"/>
          <w:bCs w:val="0"/>
          <w:highlight w:val="none"/>
          <w:lang w:val="en-US" w:eastAsia="zh-CN"/>
        </w:rPr>
        <w:t>、H</w:t>
      </w:r>
      <w:r>
        <w:rPr>
          <w:rFonts w:hint="eastAsia"/>
          <w:b w:val="0"/>
          <w:bCs w:val="0"/>
          <w:highlight w:val="none"/>
          <w:vertAlign w:val="subscript"/>
          <w:lang w:val="en-US" w:eastAsia="zh-CN"/>
        </w:rPr>
        <w:t>2</w:t>
      </w:r>
      <w:r>
        <w:rPr>
          <w:rFonts w:hint="eastAsia"/>
          <w:b w:val="0"/>
          <w:bCs w:val="0"/>
          <w:highlight w:val="none"/>
          <w:lang w:val="en-US" w:eastAsia="zh-CN"/>
        </w:rPr>
        <w:t>S、臭气浓度有组织排放执行《恶臭污染物排放标准》（GB14554-93）中表2标准，NH</w:t>
      </w:r>
      <w:r>
        <w:rPr>
          <w:rFonts w:hint="eastAsia"/>
          <w:b w:val="0"/>
          <w:bCs w:val="0"/>
          <w:highlight w:val="none"/>
          <w:vertAlign w:val="subscript"/>
          <w:lang w:val="en-US" w:eastAsia="zh-CN"/>
        </w:rPr>
        <w:t>3</w:t>
      </w:r>
      <w:r>
        <w:rPr>
          <w:rFonts w:hint="eastAsia"/>
          <w:b w:val="0"/>
          <w:bCs w:val="0"/>
          <w:highlight w:val="none"/>
          <w:lang w:val="en-US" w:eastAsia="zh-CN"/>
        </w:rPr>
        <w:t>、H</w:t>
      </w:r>
      <w:r>
        <w:rPr>
          <w:rFonts w:hint="eastAsia"/>
          <w:b w:val="0"/>
          <w:bCs w:val="0"/>
          <w:highlight w:val="none"/>
          <w:vertAlign w:val="subscript"/>
          <w:lang w:val="en-US" w:eastAsia="zh-CN"/>
        </w:rPr>
        <w:t>2</w:t>
      </w:r>
      <w:r>
        <w:rPr>
          <w:rFonts w:hint="eastAsia"/>
          <w:b w:val="0"/>
          <w:bCs w:val="0"/>
          <w:highlight w:val="none"/>
          <w:lang w:val="en-US" w:eastAsia="zh-CN"/>
        </w:rPr>
        <w:t>S、臭气浓度无组织排放执行《恶臭污染物排放标准》（GB14554-93）中表1的二级“新扩改建”标准。飞灰固化系统飞灰仓、渣坑、石灰仓、活性炭仓颗粒物排放执行《大气污染物综合排放标准》（GB16297-1996）表2二级标准及无组织排放监控浓度限值要求。</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highlight w:val="none"/>
          <w:lang w:val="en-US" w:eastAsia="zh-CN"/>
        </w:rPr>
      </w:pPr>
      <w:r>
        <w:rPr>
          <w:rFonts w:hint="eastAsia"/>
          <w:b w:val="0"/>
          <w:bCs w:val="0"/>
          <w:highlight w:val="none"/>
          <w:lang w:val="en-US" w:eastAsia="zh-CN"/>
        </w:rPr>
        <w:t>（三）噪声。施工期场界噪声排放执行《建筑施工场界环境噪声排放标准》（GB12523-2011）排放限值，运营期厂界噪声排放执行《工业企业厂界环境噪声排放标准》（GB12348-2008）2类区排放限值</w:t>
      </w:r>
      <w:r>
        <w:rPr>
          <w:rFonts w:hint="eastAsia"/>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before="0" w:after="0" w:line="560" w:lineRule="atLeast"/>
        <w:ind w:right="0" w:rightChars="0"/>
        <w:jc w:val="both"/>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四</w:t>
      </w:r>
      <w:r>
        <w:rPr>
          <w:rFonts w:hint="eastAsia" w:ascii="仿宋_GB2312" w:hAnsi="仿宋_GB2312" w:eastAsia="仿宋_GB2312" w:cs="仿宋_GB2312"/>
          <w:b w:val="0"/>
          <w:bCs w:val="0"/>
          <w:highlight w:val="none"/>
          <w:lang w:val="en-US" w:eastAsia="zh-CN"/>
        </w:rPr>
        <w:t>）</w:t>
      </w:r>
      <w:r>
        <w:rPr>
          <w:rFonts w:hint="eastAsia" w:ascii="仿宋_GB2312" w:hAnsi="仿宋_GB2312" w:cs="仿宋_GB2312"/>
          <w:b w:val="0"/>
          <w:bCs w:val="0"/>
          <w:highlight w:val="none"/>
          <w:lang w:val="en-US" w:eastAsia="zh-CN"/>
        </w:rPr>
        <w:t>固废</w:t>
      </w:r>
      <w:r>
        <w:rPr>
          <w:rFonts w:hint="eastAsia" w:ascii="仿宋_GB2312" w:hAnsi="仿宋_GB2312" w:eastAsia="仿宋_GB2312" w:cs="仿宋_GB2312"/>
          <w:b w:val="0"/>
          <w:bCs w:val="0"/>
          <w:highlight w:val="none"/>
          <w:lang w:val="en-US" w:eastAsia="zh-CN"/>
        </w:rPr>
        <w:t>。一般工业固体废物贮存执行《一般工业固体废物贮存和填埋污染控制标准》（GB18599-2020）要求；危险废物贮存执行《危险废物贮存污染控制标准》（GB18597-2023）要求，转移管理执行《危险废物转移管理办法》（部令第23号）相关规定；飞灰固化送往飞灰填埋场填埋</w:t>
      </w:r>
      <w:r>
        <w:rPr>
          <w:rFonts w:hint="eastAsia" w:ascii="仿宋_GB2312" w:hAnsi="仿宋_GB2312" w:cs="仿宋_GB2312"/>
          <w:b w:val="0"/>
          <w:bCs w:val="0"/>
          <w:highlight w:val="none"/>
          <w:lang w:val="en-US" w:eastAsia="zh-CN"/>
        </w:rPr>
        <w:t>执行</w:t>
      </w:r>
      <w:r>
        <w:rPr>
          <w:rFonts w:hint="eastAsia" w:ascii="仿宋_GB2312" w:hAnsi="仿宋_GB2312" w:eastAsia="仿宋_GB2312" w:cs="仿宋_GB2312"/>
          <w:b w:val="0"/>
          <w:bCs w:val="0"/>
          <w:highlight w:val="none"/>
          <w:lang w:val="en-US" w:eastAsia="zh-CN"/>
        </w:rPr>
        <w:t>《生活垃圾填埋场污染控制标准》（GB16889-2024）</w:t>
      </w:r>
      <w:r>
        <w:rPr>
          <w:rFonts w:hint="eastAsia" w:ascii="仿宋_GB2312" w:hAnsi="仿宋_GB2312" w:cs="仿宋_GB2312"/>
          <w:b w:val="0"/>
          <w:bCs w:val="0"/>
          <w:highlight w:val="none"/>
          <w:lang w:val="en-US" w:eastAsia="zh-CN"/>
        </w:rPr>
        <w:t>相关要求。</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b/>
          <w:bCs/>
          <w:highlight w:val="none"/>
          <w:lang w:val="en-US" w:eastAsia="zh-CN"/>
        </w:rPr>
      </w:pPr>
      <w:r>
        <w:rPr>
          <w:rFonts w:hint="eastAsia"/>
          <w:b w:val="0"/>
          <w:bCs w:val="0"/>
          <w:highlight w:val="none"/>
          <w:lang w:val="en-US" w:eastAsia="zh-CN"/>
        </w:rPr>
        <w:t>四、主要污染物允许排放总量</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eastAsia="仿宋_GB2312"/>
          <w:color w:val="auto"/>
          <w:highlight w:val="none"/>
          <w:lang w:eastAsia="zh-CN"/>
        </w:rPr>
      </w:pPr>
      <w:r>
        <w:rPr>
          <w:rFonts w:hint="eastAsia" w:cs="Times New Roman"/>
          <w:color w:val="auto"/>
          <w:highlight w:val="none"/>
          <w:lang w:val="en-US" w:eastAsia="zh-CN"/>
        </w:rPr>
        <w:t>技改项目投产后全厂</w:t>
      </w:r>
      <w:r>
        <w:rPr>
          <w:rFonts w:hint="eastAsia"/>
          <w:color w:val="auto"/>
          <w:highlight w:val="none"/>
          <w:lang w:eastAsia="zh-CN"/>
        </w:rPr>
        <w:t>主要</w:t>
      </w:r>
      <w:r>
        <w:rPr>
          <w:rFonts w:hint="eastAsia"/>
          <w:color w:val="auto"/>
          <w:highlight w:val="none"/>
        </w:rPr>
        <w:t>污染物</w:t>
      </w:r>
      <w:r>
        <w:rPr>
          <w:rFonts w:hint="eastAsia"/>
          <w:color w:val="auto"/>
          <w:highlight w:val="none"/>
          <w:lang w:val="en-US" w:eastAsia="zh-CN"/>
        </w:rPr>
        <w:t>允许</w:t>
      </w:r>
      <w:r>
        <w:rPr>
          <w:rFonts w:hint="eastAsia"/>
          <w:color w:val="auto"/>
          <w:highlight w:val="none"/>
        </w:rPr>
        <w:t>排放量</w:t>
      </w:r>
      <w:r>
        <w:rPr>
          <w:rFonts w:hint="eastAsia" w:cs="Times New Roman"/>
          <w:color w:val="auto"/>
          <w:highlight w:val="none"/>
          <w:lang w:val="en-US" w:eastAsia="zh-CN"/>
        </w:rPr>
        <w:t>为：</w:t>
      </w:r>
      <w:r>
        <w:rPr>
          <w:rFonts w:hint="eastAsia"/>
          <w:color w:val="auto"/>
          <w:highlight w:val="none"/>
          <w:lang w:eastAsia="zh-CN"/>
        </w:rPr>
        <w:t>化学需氧量</w:t>
      </w:r>
      <w:r>
        <w:rPr>
          <w:rFonts w:hint="eastAsia" w:cs="Times New Roman"/>
          <w:color w:val="auto"/>
          <w:highlight w:val="none"/>
          <w:lang w:val="en-US" w:eastAsia="zh-CN"/>
        </w:rPr>
        <w:t>≤30.29吨/年，氨氮≤1.36吨/年，二氧化硫≤25.18吨/年，氮氧化物≤103.36吨/年。</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highlight w:val="none"/>
          <w:lang w:val="en-US" w:eastAsia="zh-CN"/>
        </w:rPr>
      </w:pPr>
      <w:r>
        <w:rPr>
          <w:rFonts w:hint="eastAsia"/>
          <w:highlight w:val="none"/>
          <w:lang w:val="en-US" w:eastAsia="zh-CN"/>
        </w:rPr>
        <w:t>五、《报告书》批准后，如建设项目的性质、规模、地点、采用的生产工艺或者防治污染、防止生态破坏的措施发生重大变动的，应当依法重新报批项目环评。《报告书》自批准之日起满5年，项目方开工建设的，其环评文件应当依法报我局重新审核</w:t>
      </w:r>
      <w:r>
        <w:rPr>
          <w:rFonts w:hint="eastAsia"/>
          <w:highlight w:val="none"/>
          <w:lang w:eastAsia="zh-CN"/>
        </w:rPr>
        <w:t>。</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highlight w:val="none"/>
          <w:lang w:val="en-US" w:eastAsia="zh-CN"/>
        </w:rPr>
      </w:pPr>
      <w:r>
        <w:rPr>
          <w:rFonts w:hint="eastAsia"/>
          <w:highlight w:val="none"/>
          <w:lang w:val="en-US" w:eastAsia="zh-CN"/>
        </w:rPr>
        <w:t>六、项目建设应严格执行环境保护“三同时”制度，投入生产并产生实际排污行为之前，你司应认真梳理并确认各项环境保护措施落实，依法重新申领排污许可证并按证排污。项目投入生产后，应依法组织开展竣工环保自主验收</w:t>
      </w:r>
      <w:r>
        <w:rPr>
          <w:rFonts w:hint="eastAsia"/>
          <w:highlight w:val="none"/>
        </w:rPr>
        <w:t>。</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highlight w:val="none"/>
          <w:lang w:val="en-US" w:eastAsia="zh-CN"/>
        </w:rPr>
      </w:pPr>
      <w:r>
        <w:rPr>
          <w:rFonts w:hint="eastAsia"/>
          <w:highlight w:val="none"/>
          <w:lang w:val="en-US" w:eastAsia="zh-CN"/>
        </w:rPr>
        <w:t>七、我局委托福州市生态环境保护综合执法支队开展该项目环保“三同时”监督检查，由福州市连江生态环境局负责该项目日常环保监督管理工作。</w:t>
      </w:r>
    </w:p>
    <w:p>
      <w:pPr>
        <w:keepNext w:val="0"/>
        <w:keepLines w:val="0"/>
        <w:pageBreakBefore w:val="0"/>
        <w:widowControl w:val="0"/>
        <w:kinsoku/>
        <w:overflowPunct/>
        <w:topLinePunct w:val="0"/>
        <w:autoSpaceDE/>
        <w:autoSpaceDN/>
        <w:bidi w:val="0"/>
        <w:adjustRightInd/>
        <w:snapToGrid/>
        <w:spacing w:line="560" w:lineRule="atLeast"/>
        <w:ind w:right="0" w:rightChars="0"/>
        <w:textAlignment w:val="auto"/>
        <w:rPr>
          <w:rFonts w:hint="eastAsia" w:ascii="仿宋_GB2312" w:eastAsia="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60" w:lineRule="atLeast"/>
        <w:ind w:right="0" w:rightChars="0"/>
        <w:jc w:val="right"/>
        <w:textAlignment w:val="auto"/>
        <w:rPr>
          <w:rFonts w:hint="eastAsia"/>
          <w:highlight w:val="none"/>
          <w:lang w:val="en-US" w:eastAsia="zh-CN"/>
        </w:rPr>
      </w:pPr>
      <w:r>
        <w:rPr>
          <w:rFonts w:hint="eastAsia"/>
          <w:highlight w:val="none"/>
        </w:rPr>
        <w:t>福州市</w:t>
      </w:r>
      <w:r>
        <w:rPr>
          <w:rFonts w:hint="eastAsia"/>
          <w:highlight w:val="none"/>
          <w:lang w:eastAsia="zh-CN"/>
        </w:rPr>
        <w:t>生态环境局</w:t>
      </w:r>
      <w:r>
        <w:rPr>
          <w:rFonts w:hint="eastAsia"/>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atLeast"/>
        <w:ind w:right="0" w:rightChars="0"/>
        <w:jc w:val="right"/>
        <w:textAlignment w:val="auto"/>
        <w:rPr>
          <w:rFonts w:hint="default" w:eastAsia="仿宋_GB2312"/>
          <w:highlight w:val="none"/>
          <w:lang w:val="en-US" w:eastAsia="zh-CN"/>
        </w:rPr>
      </w:pPr>
      <w:r>
        <w:rPr>
          <w:rFonts w:hint="eastAsia"/>
          <w:highlight w:val="none"/>
        </w:rPr>
        <w:t>20</w:t>
      </w:r>
      <w:r>
        <w:rPr>
          <w:rFonts w:hint="eastAsia"/>
          <w:highlight w:val="none"/>
          <w:lang w:val="en-US" w:eastAsia="zh-CN"/>
        </w:rPr>
        <w:t>25</w:t>
      </w:r>
      <w:bookmarkStart w:id="0" w:name="_GoBack"/>
      <w:bookmarkEnd w:id="0"/>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10</w:t>
      </w:r>
      <w:r>
        <w:rPr>
          <w:rFonts w:hint="eastAsia"/>
          <w:highlight w:val="none"/>
        </w:rPr>
        <w:t>日</w:t>
      </w:r>
      <w:r>
        <w:rPr>
          <w:rFonts w:hint="eastAsia"/>
          <w:highlight w:val="none"/>
          <w:lang w:val="en-US" w:eastAsia="zh-CN"/>
        </w:rPr>
        <w:t xml:space="preserve">        </w:t>
      </w:r>
    </w:p>
    <w:tbl>
      <w:tblPr>
        <w:tblStyle w:val="14"/>
        <w:tblpPr w:horzAnchor="margin" w:tblpX="1" w:tblpYSpec="bottom"/>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16"/>
        <w:gridCol w:w="3274"/>
        <w:gridCol w:w="4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717" w:type="pct"/>
            <w:tcBorders>
              <w:left w:val="nil"/>
              <w:right w:val="nil"/>
            </w:tcBorders>
            <w:noWrap w:val="0"/>
            <w:vAlign w:val="top"/>
          </w:tcPr>
          <w:p>
            <w:pPr>
              <w:pStyle w:val="20"/>
              <w:keepNext w:val="0"/>
              <w:keepLines w:val="0"/>
              <w:pageBreakBefore w:val="0"/>
              <w:widowControl w:val="0"/>
              <w:kinsoku/>
              <w:overflowPunct/>
              <w:topLinePunct w:val="0"/>
              <w:autoSpaceDE/>
              <w:autoSpaceDN/>
              <w:bidi w:val="0"/>
              <w:adjustRightInd/>
              <w:snapToGrid/>
              <w:spacing w:line="560" w:lineRule="atLeast"/>
              <w:ind w:firstLine="320" w:firstLineChars="100"/>
              <w:jc w:val="left"/>
              <w:textAlignment w:val="auto"/>
              <w:rPr>
                <w:rFonts w:hint="eastAsia"/>
                <w:highlight w:val="none"/>
                <w:lang w:val="en-US" w:eastAsia="zh-CN"/>
              </w:rPr>
            </w:pPr>
            <w:r>
              <w:rPr>
                <w:rFonts w:hint="eastAsia"/>
                <w:highlight w:val="none"/>
              </w:rPr>
              <w:t>抄送：</w:t>
            </w:r>
          </w:p>
        </w:tc>
        <w:tc>
          <w:tcPr>
            <w:tcW w:w="4282" w:type="pct"/>
            <w:gridSpan w:val="2"/>
            <w:tcBorders>
              <w:left w:val="nil"/>
              <w:right w:val="nil"/>
            </w:tcBorders>
            <w:noWrap w:val="0"/>
            <w:vAlign w:val="top"/>
          </w:tcPr>
          <w:p>
            <w:pPr>
              <w:pStyle w:val="20"/>
              <w:keepNext w:val="0"/>
              <w:keepLines w:val="0"/>
              <w:pageBreakBefore w:val="0"/>
              <w:widowControl w:val="0"/>
              <w:kinsoku/>
              <w:overflowPunct/>
              <w:topLinePunct w:val="0"/>
              <w:autoSpaceDE/>
              <w:autoSpaceDN/>
              <w:bidi w:val="0"/>
              <w:adjustRightInd/>
              <w:snapToGrid/>
              <w:spacing w:line="560" w:lineRule="atLeast"/>
              <w:textAlignment w:val="auto"/>
              <w:rPr>
                <w:rFonts w:hint="eastAsia"/>
                <w:highlight w:val="none"/>
                <w:lang w:val="en-US" w:eastAsia="zh-CN"/>
              </w:rPr>
            </w:pPr>
            <w:r>
              <w:rPr>
                <w:rFonts w:hint="eastAsia"/>
                <w:highlight w:val="none"/>
                <w:lang w:eastAsia="zh-CN"/>
              </w:rPr>
              <w:t>局土壤处、大气处，</w:t>
            </w:r>
            <w:r>
              <w:rPr>
                <w:rFonts w:hint="eastAsia"/>
                <w:highlight w:val="none"/>
              </w:rPr>
              <w:t>福州市生态环境保护综合执法支队，福州市环境影响评价技术中心，福州市</w:t>
            </w:r>
            <w:r>
              <w:rPr>
                <w:rFonts w:hint="eastAsia"/>
                <w:highlight w:val="none"/>
                <w:lang w:eastAsia="zh-CN"/>
              </w:rPr>
              <w:t>连江</w:t>
            </w:r>
            <w:r>
              <w:rPr>
                <w:rFonts w:hint="eastAsia"/>
                <w:highlight w:val="none"/>
              </w:rPr>
              <w:t>生态环境局</w:t>
            </w:r>
            <w:r>
              <w:rPr>
                <w:rFonts w:hint="eastAsia"/>
                <w:highlight w:val="none"/>
                <w:lang w:eastAsia="zh-CN"/>
              </w:rPr>
              <w:t>，福建省环境保护设计院有限公司。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500" w:type="pct"/>
            <w:gridSpan w:val="2"/>
            <w:tcBorders>
              <w:left w:val="nil"/>
              <w:right w:val="nil"/>
            </w:tcBorders>
            <w:noWrap w:val="0"/>
            <w:vAlign w:val="top"/>
          </w:tcPr>
          <w:p>
            <w:pPr>
              <w:pStyle w:val="20"/>
              <w:keepNext w:val="0"/>
              <w:keepLines w:val="0"/>
              <w:pageBreakBefore w:val="0"/>
              <w:widowControl w:val="0"/>
              <w:kinsoku/>
              <w:overflowPunct/>
              <w:topLinePunct w:val="0"/>
              <w:autoSpaceDE/>
              <w:autoSpaceDN/>
              <w:bidi w:val="0"/>
              <w:adjustRightInd/>
              <w:snapToGrid/>
              <w:spacing w:line="560" w:lineRule="atLeast"/>
              <w:ind w:firstLine="320" w:firstLineChars="100"/>
              <w:textAlignment w:val="auto"/>
              <w:rPr>
                <w:rFonts w:hint="eastAsia"/>
                <w:highlight w:val="none"/>
                <w:lang w:val="en-US" w:eastAsia="zh-CN"/>
              </w:rPr>
            </w:pPr>
            <w:r>
              <w:rPr>
                <w:rFonts w:hint="eastAsia"/>
                <w:highlight w:val="none"/>
              </w:rPr>
              <w:t>福州市</w:t>
            </w:r>
            <w:r>
              <w:rPr>
                <w:rFonts w:hint="eastAsia"/>
                <w:highlight w:val="none"/>
                <w:lang w:eastAsia="zh-CN"/>
              </w:rPr>
              <w:t>生态环境</w:t>
            </w:r>
            <w:r>
              <w:rPr>
                <w:rFonts w:hint="eastAsia"/>
                <w:highlight w:val="none"/>
              </w:rPr>
              <w:t>局</w:t>
            </w:r>
          </w:p>
        </w:tc>
        <w:tc>
          <w:tcPr>
            <w:tcW w:w="2499" w:type="pct"/>
            <w:tcBorders>
              <w:left w:val="nil"/>
              <w:right w:val="nil"/>
            </w:tcBorders>
            <w:noWrap w:val="0"/>
            <w:vAlign w:val="top"/>
          </w:tcPr>
          <w:p>
            <w:pPr>
              <w:pStyle w:val="20"/>
              <w:keepNext w:val="0"/>
              <w:keepLines w:val="0"/>
              <w:pageBreakBefore w:val="0"/>
              <w:widowControl w:val="0"/>
              <w:kinsoku/>
              <w:overflowPunct/>
              <w:topLinePunct w:val="0"/>
              <w:autoSpaceDE/>
              <w:autoSpaceDN/>
              <w:bidi w:val="0"/>
              <w:adjustRightInd/>
              <w:snapToGrid/>
              <w:spacing w:line="560" w:lineRule="atLeast"/>
              <w:jc w:val="right"/>
              <w:textAlignment w:val="auto"/>
              <w:rPr>
                <w:rFonts w:hint="eastAsia" w:eastAsia="仿宋_GB2312"/>
                <w:highlight w:val="none"/>
                <w:lang w:val="en-US" w:eastAsia="zh-CN"/>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10</w:t>
            </w:r>
            <w:r>
              <w:rPr>
                <w:rFonts w:hint="eastAsia"/>
                <w:highlight w:val="none"/>
              </w:rPr>
              <w:t>日印发</w:t>
            </w:r>
            <w:r>
              <w:rPr>
                <w:rFonts w:hint="eastAsia"/>
                <w:highlight w:val="no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val="0"/>
        <w:spacing w:line="520" w:lineRule="atLeast"/>
        <w:ind w:right="0" w:rightChars="0" w:firstLine="0" w:firstLineChars="0"/>
        <w:jc w:val="both"/>
        <w:textAlignment w:val="auto"/>
        <w:rPr>
          <w:rFonts w:hint="default"/>
          <w:color w:val="000000" w:themeColor="text1"/>
          <w:highlight w:val="none"/>
          <w:lang w:val="en-US" w:eastAsia="zh-CN"/>
          <w14:textFill>
            <w14:solidFill>
              <w14:schemeClr w14:val="tx1"/>
            </w14:solidFill>
          </w14:textFill>
        </w:rPr>
      </w:pPr>
    </w:p>
    <w:sectPr>
      <w:footerReference r:id="rId3" w:type="default"/>
      <w:footerReference r:id="rId4" w:type="even"/>
      <w:pgSz w:w="11906" w:h="16838"/>
      <w:pgMar w:top="1417" w:right="1417" w:bottom="1417" w:left="1417"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Calibri Light">
    <w:altName w:val="Calibri"/>
    <w:panose1 w:val="020F0302020204030204"/>
    <w:charset w:val="00"/>
    <w:family w:val="swiss"/>
    <w:pitch w:val="default"/>
    <w:sig w:usb0="00000000" w:usb1="00000000" w:usb2="00000000" w:usb3="00000000" w:csb0="2000019F" w:csb1="00000000"/>
  </w:font>
  <w:font w:name="长城小标宋体">
    <w:altName w:val="宋体"/>
    <w:panose1 w:val="0201060901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pPr>
    <w:r>
      <w:fldChar w:fldCharType="begin"/>
    </w:r>
    <w:r>
      <w:instrText xml:space="preserve">PAGE  </w:instrText>
    </w:r>
    <w:r>
      <w:fldChar w:fldCharType="end"/>
    </w:r>
  </w:p>
  <w:p>
    <w:pPr>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32AC9"/>
    <w:multiLevelType w:val="multilevel"/>
    <w:tmpl w:val="41132AC9"/>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bCs w:val="0"/>
        <w:i w:val="0"/>
        <w:iCs w:val="0"/>
        <w:caps w:val="0"/>
        <w:smallCaps w:val="0"/>
        <w:strike w:val="0"/>
        <w:dstrike w:val="0"/>
        <w:color w:val="000000"/>
        <w:spacing w:val="0"/>
        <w:position w:val="0"/>
        <w:u w:val="none"/>
      </w:rPr>
    </w:lvl>
    <w:lvl w:ilvl="3" w:tentative="0">
      <w:start w:val="1"/>
      <w:numFmt w:val="decimal"/>
      <w:pStyle w:val="5"/>
      <w:suff w:val="space"/>
      <w:lvlText w:val="%1.%2.%3.%4"/>
      <w:lvlJc w:val="left"/>
      <w:pPr>
        <w:ind w:left="0" w:firstLine="0"/>
      </w:pPr>
      <w:rPr>
        <w:rFonts w:hint="eastAsia" w:ascii="Times New Roman" w:hAnsi="Times New Roman" w:cs="Times New Roman"/>
        <w:b/>
        <w:bCs w:val="0"/>
        <w:i w:val="0"/>
        <w:iCs w:val="0"/>
        <w:caps w:val="0"/>
        <w:smallCaps w:val="0"/>
        <w:strike w:val="0"/>
        <w:dstrike w:val="0"/>
        <w:color w:val="000000"/>
        <w:spacing w:val="0"/>
        <w:position w:val="0"/>
        <w:u w:val="none"/>
      </w:rPr>
    </w:lvl>
    <w:lvl w:ilvl="4" w:tentative="0">
      <w:start w:val="1"/>
      <w:numFmt w:val="decimal"/>
      <w:lvlText w:val="%1.%2.%3.%4.%5"/>
      <w:lvlJc w:val="left"/>
      <w:pPr>
        <w:tabs>
          <w:tab w:val="left" w:pos="720"/>
        </w:tabs>
        <w:ind w:left="720"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NjViMWZjNGJkYmM4MWU4MGRmZDNhNzU1NDE0NjcifQ=="/>
  </w:docVars>
  <w:rsids>
    <w:rsidRoot w:val="00172A27"/>
    <w:rsid w:val="00285502"/>
    <w:rsid w:val="002D2788"/>
    <w:rsid w:val="00733C95"/>
    <w:rsid w:val="00DC19CB"/>
    <w:rsid w:val="012415C2"/>
    <w:rsid w:val="01423F24"/>
    <w:rsid w:val="017B4BBD"/>
    <w:rsid w:val="01A7022B"/>
    <w:rsid w:val="01D1680C"/>
    <w:rsid w:val="01D55B47"/>
    <w:rsid w:val="01EE5E5A"/>
    <w:rsid w:val="01F6165D"/>
    <w:rsid w:val="02087A20"/>
    <w:rsid w:val="021C6C6C"/>
    <w:rsid w:val="02681D8C"/>
    <w:rsid w:val="02A91D81"/>
    <w:rsid w:val="02F373A7"/>
    <w:rsid w:val="03995481"/>
    <w:rsid w:val="03AD58A1"/>
    <w:rsid w:val="03CB7B24"/>
    <w:rsid w:val="043A5387"/>
    <w:rsid w:val="044C024B"/>
    <w:rsid w:val="044E3BDF"/>
    <w:rsid w:val="046E4052"/>
    <w:rsid w:val="04D706D5"/>
    <w:rsid w:val="04E87704"/>
    <w:rsid w:val="05360CF3"/>
    <w:rsid w:val="05614C7A"/>
    <w:rsid w:val="059B31F8"/>
    <w:rsid w:val="05A9624A"/>
    <w:rsid w:val="05EC03F0"/>
    <w:rsid w:val="06911288"/>
    <w:rsid w:val="06F42B68"/>
    <w:rsid w:val="07627F61"/>
    <w:rsid w:val="07857BC5"/>
    <w:rsid w:val="07872AC0"/>
    <w:rsid w:val="07921E93"/>
    <w:rsid w:val="07A01A45"/>
    <w:rsid w:val="07E643A6"/>
    <w:rsid w:val="08592B0D"/>
    <w:rsid w:val="08991F59"/>
    <w:rsid w:val="08D31906"/>
    <w:rsid w:val="08F70236"/>
    <w:rsid w:val="09017F7A"/>
    <w:rsid w:val="09290201"/>
    <w:rsid w:val="093A2994"/>
    <w:rsid w:val="09682A4F"/>
    <w:rsid w:val="096F7A09"/>
    <w:rsid w:val="09AE6015"/>
    <w:rsid w:val="09CD427B"/>
    <w:rsid w:val="09F31D9F"/>
    <w:rsid w:val="0A374430"/>
    <w:rsid w:val="0A3C63D0"/>
    <w:rsid w:val="0A4F7B1C"/>
    <w:rsid w:val="0BD02354"/>
    <w:rsid w:val="0C312BFA"/>
    <w:rsid w:val="0C8073F8"/>
    <w:rsid w:val="0CA35B13"/>
    <w:rsid w:val="0D750F31"/>
    <w:rsid w:val="0E140D02"/>
    <w:rsid w:val="0E3A1F14"/>
    <w:rsid w:val="0E865C80"/>
    <w:rsid w:val="0EB47119"/>
    <w:rsid w:val="0EEC178F"/>
    <w:rsid w:val="0F0C76AB"/>
    <w:rsid w:val="0F7D61F5"/>
    <w:rsid w:val="0FC07E01"/>
    <w:rsid w:val="105F163E"/>
    <w:rsid w:val="10C15A17"/>
    <w:rsid w:val="10F15C50"/>
    <w:rsid w:val="11EE50AB"/>
    <w:rsid w:val="12100067"/>
    <w:rsid w:val="12321614"/>
    <w:rsid w:val="12F82368"/>
    <w:rsid w:val="132F0080"/>
    <w:rsid w:val="13433851"/>
    <w:rsid w:val="136E2957"/>
    <w:rsid w:val="139042E6"/>
    <w:rsid w:val="1393060F"/>
    <w:rsid w:val="13CF3A9D"/>
    <w:rsid w:val="14115C0D"/>
    <w:rsid w:val="141C6857"/>
    <w:rsid w:val="14647F10"/>
    <w:rsid w:val="149C2744"/>
    <w:rsid w:val="14A95C11"/>
    <w:rsid w:val="14C40C02"/>
    <w:rsid w:val="14E56EB1"/>
    <w:rsid w:val="14E833C5"/>
    <w:rsid w:val="14EF6AF2"/>
    <w:rsid w:val="15202377"/>
    <w:rsid w:val="15353F94"/>
    <w:rsid w:val="15864CBE"/>
    <w:rsid w:val="158B717A"/>
    <w:rsid w:val="15A30A8C"/>
    <w:rsid w:val="15AB0040"/>
    <w:rsid w:val="15F874A1"/>
    <w:rsid w:val="160B5ABA"/>
    <w:rsid w:val="16394E85"/>
    <w:rsid w:val="16590C32"/>
    <w:rsid w:val="16BF796D"/>
    <w:rsid w:val="16D60828"/>
    <w:rsid w:val="16E641C4"/>
    <w:rsid w:val="17203A97"/>
    <w:rsid w:val="17696FE0"/>
    <w:rsid w:val="177C2B6D"/>
    <w:rsid w:val="17B42592"/>
    <w:rsid w:val="17D05990"/>
    <w:rsid w:val="17DD0A63"/>
    <w:rsid w:val="17F77252"/>
    <w:rsid w:val="18125C7A"/>
    <w:rsid w:val="188A223C"/>
    <w:rsid w:val="1892516D"/>
    <w:rsid w:val="18D766FA"/>
    <w:rsid w:val="194045ED"/>
    <w:rsid w:val="19B17A41"/>
    <w:rsid w:val="19DD3EF8"/>
    <w:rsid w:val="19F73E81"/>
    <w:rsid w:val="1A8C2A62"/>
    <w:rsid w:val="1AF04599"/>
    <w:rsid w:val="1B0C5089"/>
    <w:rsid w:val="1B2F580A"/>
    <w:rsid w:val="1B3A4B23"/>
    <w:rsid w:val="1B676D5F"/>
    <w:rsid w:val="1B7B2A2A"/>
    <w:rsid w:val="1BAD4F54"/>
    <w:rsid w:val="1BB05AD7"/>
    <w:rsid w:val="1BE97638"/>
    <w:rsid w:val="1BF55770"/>
    <w:rsid w:val="1C3E3371"/>
    <w:rsid w:val="1C770AC4"/>
    <w:rsid w:val="1CA03525"/>
    <w:rsid w:val="1CAC3741"/>
    <w:rsid w:val="1D6762C4"/>
    <w:rsid w:val="1DB9579F"/>
    <w:rsid w:val="1DFB08D0"/>
    <w:rsid w:val="1E2A1857"/>
    <w:rsid w:val="1E6C5ADB"/>
    <w:rsid w:val="1EB55A71"/>
    <w:rsid w:val="1EC90F46"/>
    <w:rsid w:val="1EFA7794"/>
    <w:rsid w:val="1F165581"/>
    <w:rsid w:val="1F7040EE"/>
    <w:rsid w:val="1FC42DC7"/>
    <w:rsid w:val="1FFA3FF9"/>
    <w:rsid w:val="20027E8A"/>
    <w:rsid w:val="200D50EA"/>
    <w:rsid w:val="2060293B"/>
    <w:rsid w:val="20915ED7"/>
    <w:rsid w:val="209F7DAC"/>
    <w:rsid w:val="20D73A5A"/>
    <w:rsid w:val="21143B4C"/>
    <w:rsid w:val="21325C72"/>
    <w:rsid w:val="2137097C"/>
    <w:rsid w:val="21B749D0"/>
    <w:rsid w:val="21E81F4C"/>
    <w:rsid w:val="21FE726F"/>
    <w:rsid w:val="2214244A"/>
    <w:rsid w:val="22181FF2"/>
    <w:rsid w:val="2224602D"/>
    <w:rsid w:val="225A7C8A"/>
    <w:rsid w:val="226002D5"/>
    <w:rsid w:val="22BA2122"/>
    <w:rsid w:val="22D54F67"/>
    <w:rsid w:val="23925D1D"/>
    <w:rsid w:val="23D37805"/>
    <w:rsid w:val="247F4FF4"/>
    <w:rsid w:val="24D85EEB"/>
    <w:rsid w:val="255D78A2"/>
    <w:rsid w:val="25634F98"/>
    <w:rsid w:val="257974D5"/>
    <w:rsid w:val="25916AA4"/>
    <w:rsid w:val="25D65D28"/>
    <w:rsid w:val="260B587A"/>
    <w:rsid w:val="26117FA0"/>
    <w:rsid w:val="262275D1"/>
    <w:rsid w:val="263C1438"/>
    <w:rsid w:val="26E0338E"/>
    <w:rsid w:val="26EC2707"/>
    <w:rsid w:val="270D7D6E"/>
    <w:rsid w:val="271B2112"/>
    <w:rsid w:val="273D3CE1"/>
    <w:rsid w:val="273F2C22"/>
    <w:rsid w:val="273F5085"/>
    <w:rsid w:val="27777B13"/>
    <w:rsid w:val="27C7045C"/>
    <w:rsid w:val="27DC2B23"/>
    <w:rsid w:val="280C6F05"/>
    <w:rsid w:val="281B0309"/>
    <w:rsid w:val="283178CB"/>
    <w:rsid w:val="288F5D7B"/>
    <w:rsid w:val="289B7569"/>
    <w:rsid w:val="28AA153E"/>
    <w:rsid w:val="28FC341A"/>
    <w:rsid w:val="2A1C69F8"/>
    <w:rsid w:val="2A8B4E09"/>
    <w:rsid w:val="2A9D4879"/>
    <w:rsid w:val="2AA14CA8"/>
    <w:rsid w:val="2AC121DF"/>
    <w:rsid w:val="2AD14B31"/>
    <w:rsid w:val="2AD57C80"/>
    <w:rsid w:val="2AF10F5C"/>
    <w:rsid w:val="2B0C7BEA"/>
    <w:rsid w:val="2B65243A"/>
    <w:rsid w:val="2B7649BE"/>
    <w:rsid w:val="2B833315"/>
    <w:rsid w:val="2BAA6116"/>
    <w:rsid w:val="2BE95FAD"/>
    <w:rsid w:val="2C421C7B"/>
    <w:rsid w:val="2C5D61AC"/>
    <w:rsid w:val="2C855069"/>
    <w:rsid w:val="2CA43435"/>
    <w:rsid w:val="2CDF5A47"/>
    <w:rsid w:val="2D000B7F"/>
    <w:rsid w:val="2D280BC1"/>
    <w:rsid w:val="2D3E15A4"/>
    <w:rsid w:val="2D9A22EF"/>
    <w:rsid w:val="2DD0519A"/>
    <w:rsid w:val="2E20215E"/>
    <w:rsid w:val="2E4072AA"/>
    <w:rsid w:val="2E521804"/>
    <w:rsid w:val="2E5D640D"/>
    <w:rsid w:val="2E82340D"/>
    <w:rsid w:val="2E9D5498"/>
    <w:rsid w:val="2E9F3BE2"/>
    <w:rsid w:val="2F67058E"/>
    <w:rsid w:val="2F7C3F50"/>
    <w:rsid w:val="2F8F7792"/>
    <w:rsid w:val="30221FB4"/>
    <w:rsid w:val="304A7159"/>
    <w:rsid w:val="304B1338"/>
    <w:rsid w:val="30AB6B41"/>
    <w:rsid w:val="30F069FA"/>
    <w:rsid w:val="30F83409"/>
    <w:rsid w:val="30FB32F8"/>
    <w:rsid w:val="317B4B1E"/>
    <w:rsid w:val="32052280"/>
    <w:rsid w:val="32E4458C"/>
    <w:rsid w:val="32FB783E"/>
    <w:rsid w:val="33071ADC"/>
    <w:rsid w:val="33405C86"/>
    <w:rsid w:val="334E34FC"/>
    <w:rsid w:val="33520B64"/>
    <w:rsid w:val="335A1288"/>
    <w:rsid w:val="336660D1"/>
    <w:rsid w:val="3401422B"/>
    <w:rsid w:val="341A5D77"/>
    <w:rsid w:val="3455090A"/>
    <w:rsid w:val="346A2584"/>
    <w:rsid w:val="34BB7587"/>
    <w:rsid w:val="34BD1541"/>
    <w:rsid w:val="34C42AA8"/>
    <w:rsid w:val="34C70C8A"/>
    <w:rsid w:val="34D038C0"/>
    <w:rsid w:val="35051296"/>
    <w:rsid w:val="35226409"/>
    <w:rsid w:val="355510D6"/>
    <w:rsid w:val="35614F37"/>
    <w:rsid w:val="35916E07"/>
    <w:rsid w:val="359A757A"/>
    <w:rsid w:val="3631346C"/>
    <w:rsid w:val="366E2AEA"/>
    <w:rsid w:val="36767719"/>
    <w:rsid w:val="368F1EED"/>
    <w:rsid w:val="36C56525"/>
    <w:rsid w:val="36EB32A4"/>
    <w:rsid w:val="36F02A16"/>
    <w:rsid w:val="373240D5"/>
    <w:rsid w:val="374C17F7"/>
    <w:rsid w:val="377A54BF"/>
    <w:rsid w:val="37F237F8"/>
    <w:rsid w:val="37F877E0"/>
    <w:rsid w:val="3836588A"/>
    <w:rsid w:val="3860185A"/>
    <w:rsid w:val="389F6C5E"/>
    <w:rsid w:val="390B59DF"/>
    <w:rsid w:val="39364032"/>
    <w:rsid w:val="399251D2"/>
    <w:rsid w:val="39E843EE"/>
    <w:rsid w:val="39F14134"/>
    <w:rsid w:val="3A2A69FC"/>
    <w:rsid w:val="3A496523"/>
    <w:rsid w:val="3A7033B3"/>
    <w:rsid w:val="3A867BB1"/>
    <w:rsid w:val="3AA75770"/>
    <w:rsid w:val="3B5B73B5"/>
    <w:rsid w:val="3B950B19"/>
    <w:rsid w:val="3BBC1D7C"/>
    <w:rsid w:val="3C0C5739"/>
    <w:rsid w:val="3C371BD0"/>
    <w:rsid w:val="3C805325"/>
    <w:rsid w:val="3D9A2417"/>
    <w:rsid w:val="3DA26822"/>
    <w:rsid w:val="3DB86DD6"/>
    <w:rsid w:val="3DDC2BB6"/>
    <w:rsid w:val="3DE06A0F"/>
    <w:rsid w:val="3DFE72D5"/>
    <w:rsid w:val="3E771221"/>
    <w:rsid w:val="3EC87493"/>
    <w:rsid w:val="3ECA6D2C"/>
    <w:rsid w:val="3F363F8B"/>
    <w:rsid w:val="3F824E8C"/>
    <w:rsid w:val="3FBE3C9E"/>
    <w:rsid w:val="407A1888"/>
    <w:rsid w:val="40811207"/>
    <w:rsid w:val="4089777C"/>
    <w:rsid w:val="408A3C30"/>
    <w:rsid w:val="409F7D44"/>
    <w:rsid w:val="40C913D4"/>
    <w:rsid w:val="40CC5DE9"/>
    <w:rsid w:val="40F679C1"/>
    <w:rsid w:val="410E3E35"/>
    <w:rsid w:val="41534C28"/>
    <w:rsid w:val="41A650C0"/>
    <w:rsid w:val="41D10E53"/>
    <w:rsid w:val="41DD6A83"/>
    <w:rsid w:val="41E87F50"/>
    <w:rsid w:val="41E9719C"/>
    <w:rsid w:val="421676EB"/>
    <w:rsid w:val="42371BC0"/>
    <w:rsid w:val="42A11B51"/>
    <w:rsid w:val="42A94EAA"/>
    <w:rsid w:val="43100811"/>
    <w:rsid w:val="435E5746"/>
    <w:rsid w:val="437159C8"/>
    <w:rsid w:val="43AC79FF"/>
    <w:rsid w:val="43D60E26"/>
    <w:rsid w:val="43F92A13"/>
    <w:rsid w:val="444B22B5"/>
    <w:rsid w:val="44695E5B"/>
    <w:rsid w:val="447314CE"/>
    <w:rsid w:val="44865664"/>
    <w:rsid w:val="448E3562"/>
    <w:rsid w:val="44F945DA"/>
    <w:rsid w:val="45384445"/>
    <w:rsid w:val="453F5652"/>
    <w:rsid w:val="457C5409"/>
    <w:rsid w:val="458C75D8"/>
    <w:rsid w:val="45A9090B"/>
    <w:rsid w:val="460D2E36"/>
    <w:rsid w:val="463D0E74"/>
    <w:rsid w:val="46905A4C"/>
    <w:rsid w:val="46A97923"/>
    <w:rsid w:val="46C2744B"/>
    <w:rsid w:val="46C93599"/>
    <w:rsid w:val="46CD505E"/>
    <w:rsid w:val="48A155A1"/>
    <w:rsid w:val="48A26146"/>
    <w:rsid w:val="48E17742"/>
    <w:rsid w:val="48F63D76"/>
    <w:rsid w:val="49690EEF"/>
    <w:rsid w:val="49835FF6"/>
    <w:rsid w:val="49934965"/>
    <w:rsid w:val="499E03EC"/>
    <w:rsid w:val="49BC54C3"/>
    <w:rsid w:val="49CD0C90"/>
    <w:rsid w:val="4A0E3C60"/>
    <w:rsid w:val="4A17247D"/>
    <w:rsid w:val="4A7077B2"/>
    <w:rsid w:val="4A8E1FAD"/>
    <w:rsid w:val="4A987224"/>
    <w:rsid w:val="4C1027F5"/>
    <w:rsid w:val="4C140938"/>
    <w:rsid w:val="4C4869B3"/>
    <w:rsid w:val="4C670FC4"/>
    <w:rsid w:val="4C811A39"/>
    <w:rsid w:val="4D187B9C"/>
    <w:rsid w:val="4D4D782C"/>
    <w:rsid w:val="4D5F00C6"/>
    <w:rsid w:val="4DC94652"/>
    <w:rsid w:val="4DDE1B7F"/>
    <w:rsid w:val="4E0A0EF3"/>
    <w:rsid w:val="4E0B6B58"/>
    <w:rsid w:val="4E34569A"/>
    <w:rsid w:val="4E553227"/>
    <w:rsid w:val="4E663285"/>
    <w:rsid w:val="4EA41E49"/>
    <w:rsid w:val="4EDA6CE4"/>
    <w:rsid w:val="4EE65F3F"/>
    <w:rsid w:val="4F17434B"/>
    <w:rsid w:val="4F867E4E"/>
    <w:rsid w:val="504A7CCC"/>
    <w:rsid w:val="505A6944"/>
    <w:rsid w:val="50611DAF"/>
    <w:rsid w:val="50DD5D75"/>
    <w:rsid w:val="51E647F7"/>
    <w:rsid w:val="520533FB"/>
    <w:rsid w:val="52143AFD"/>
    <w:rsid w:val="522B3DE7"/>
    <w:rsid w:val="52555569"/>
    <w:rsid w:val="52F91162"/>
    <w:rsid w:val="52FC2DD4"/>
    <w:rsid w:val="53190FD9"/>
    <w:rsid w:val="53603F71"/>
    <w:rsid w:val="53765A26"/>
    <w:rsid w:val="53795DEA"/>
    <w:rsid w:val="53954603"/>
    <w:rsid w:val="5398647F"/>
    <w:rsid w:val="546F2AEB"/>
    <w:rsid w:val="54CE3C4A"/>
    <w:rsid w:val="55411B42"/>
    <w:rsid w:val="5579019D"/>
    <w:rsid w:val="559F7E89"/>
    <w:rsid w:val="55B81234"/>
    <w:rsid w:val="55BC3AD1"/>
    <w:rsid w:val="5611243C"/>
    <w:rsid w:val="56723939"/>
    <w:rsid w:val="56752603"/>
    <w:rsid w:val="56B03064"/>
    <w:rsid w:val="56BD1629"/>
    <w:rsid w:val="56FB049E"/>
    <w:rsid w:val="5773796F"/>
    <w:rsid w:val="579932E7"/>
    <w:rsid w:val="57B719BC"/>
    <w:rsid w:val="57C65626"/>
    <w:rsid w:val="57E478CE"/>
    <w:rsid w:val="588C0756"/>
    <w:rsid w:val="58B55C87"/>
    <w:rsid w:val="58E45F93"/>
    <w:rsid w:val="58E73667"/>
    <w:rsid w:val="590929B0"/>
    <w:rsid w:val="591A79B6"/>
    <w:rsid w:val="59404E79"/>
    <w:rsid w:val="595F65D1"/>
    <w:rsid w:val="59821989"/>
    <w:rsid w:val="59B70E38"/>
    <w:rsid w:val="59F754D4"/>
    <w:rsid w:val="5A2447F3"/>
    <w:rsid w:val="5A39015A"/>
    <w:rsid w:val="5A600D7D"/>
    <w:rsid w:val="5A663C6D"/>
    <w:rsid w:val="5AF116BD"/>
    <w:rsid w:val="5AFC50AF"/>
    <w:rsid w:val="5B4F712A"/>
    <w:rsid w:val="5BA81DEA"/>
    <w:rsid w:val="5BB416EF"/>
    <w:rsid w:val="5BBB04C9"/>
    <w:rsid w:val="5C02145B"/>
    <w:rsid w:val="5C0F33DD"/>
    <w:rsid w:val="5C1E2DC4"/>
    <w:rsid w:val="5C500C07"/>
    <w:rsid w:val="5C591D09"/>
    <w:rsid w:val="5CB762E9"/>
    <w:rsid w:val="5D014BFA"/>
    <w:rsid w:val="5D194829"/>
    <w:rsid w:val="5D6B68D5"/>
    <w:rsid w:val="5D8442C9"/>
    <w:rsid w:val="5DA66549"/>
    <w:rsid w:val="5DFD637E"/>
    <w:rsid w:val="5E917EAA"/>
    <w:rsid w:val="5ECA634C"/>
    <w:rsid w:val="5EEA5AE3"/>
    <w:rsid w:val="5EF452EC"/>
    <w:rsid w:val="5F27080E"/>
    <w:rsid w:val="5F2D4723"/>
    <w:rsid w:val="5F313E05"/>
    <w:rsid w:val="5F3E17D5"/>
    <w:rsid w:val="5F71128A"/>
    <w:rsid w:val="5F9347C8"/>
    <w:rsid w:val="5FEA2220"/>
    <w:rsid w:val="6045671D"/>
    <w:rsid w:val="606D04A3"/>
    <w:rsid w:val="60AB3A08"/>
    <w:rsid w:val="60D3786A"/>
    <w:rsid w:val="61052DF9"/>
    <w:rsid w:val="6130229A"/>
    <w:rsid w:val="61363955"/>
    <w:rsid w:val="61572249"/>
    <w:rsid w:val="6256228E"/>
    <w:rsid w:val="62853361"/>
    <w:rsid w:val="62B831C1"/>
    <w:rsid w:val="62BA4BEA"/>
    <w:rsid w:val="62CF68EA"/>
    <w:rsid w:val="63715BA8"/>
    <w:rsid w:val="63800D2E"/>
    <w:rsid w:val="63C91E94"/>
    <w:rsid w:val="64370110"/>
    <w:rsid w:val="643E32B9"/>
    <w:rsid w:val="65627461"/>
    <w:rsid w:val="65C43C25"/>
    <w:rsid w:val="65CA32A0"/>
    <w:rsid w:val="65E77401"/>
    <w:rsid w:val="65FC33BF"/>
    <w:rsid w:val="66AA7F8F"/>
    <w:rsid w:val="66E612EE"/>
    <w:rsid w:val="66E63C24"/>
    <w:rsid w:val="671007B9"/>
    <w:rsid w:val="67391E88"/>
    <w:rsid w:val="675863D3"/>
    <w:rsid w:val="675D7CB8"/>
    <w:rsid w:val="67A41370"/>
    <w:rsid w:val="67A755AC"/>
    <w:rsid w:val="68272D07"/>
    <w:rsid w:val="68B07C80"/>
    <w:rsid w:val="68D565A8"/>
    <w:rsid w:val="69AE7235"/>
    <w:rsid w:val="69D54F09"/>
    <w:rsid w:val="69EB0C64"/>
    <w:rsid w:val="6A147573"/>
    <w:rsid w:val="6A3F33A9"/>
    <w:rsid w:val="6A795B01"/>
    <w:rsid w:val="6A7B2288"/>
    <w:rsid w:val="6AD965D0"/>
    <w:rsid w:val="6AE57CC7"/>
    <w:rsid w:val="6AFC6EF7"/>
    <w:rsid w:val="6B384575"/>
    <w:rsid w:val="6B570121"/>
    <w:rsid w:val="6B637032"/>
    <w:rsid w:val="6B7752F2"/>
    <w:rsid w:val="6BDB475D"/>
    <w:rsid w:val="6BFF1D07"/>
    <w:rsid w:val="6C2151AA"/>
    <w:rsid w:val="6CC23F43"/>
    <w:rsid w:val="6CC24944"/>
    <w:rsid w:val="6CE71FCB"/>
    <w:rsid w:val="6D013069"/>
    <w:rsid w:val="6D703160"/>
    <w:rsid w:val="6E7B26F0"/>
    <w:rsid w:val="6E907650"/>
    <w:rsid w:val="6EAA69C0"/>
    <w:rsid w:val="6EBB68D3"/>
    <w:rsid w:val="6EEA6F2E"/>
    <w:rsid w:val="6F3D0E01"/>
    <w:rsid w:val="6F5A6006"/>
    <w:rsid w:val="6F8C0561"/>
    <w:rsid w:val="6FA50623"/>
    <w:rsid w:val="6FBB353C"/>
    <w:rsid w:val="6FF40792"/>
    <w:rsid w:val="701570FF"/>
    <w:rsid w:val="705219E6"/>
    <w:rsid w:val="706359C1"/>
    <w:rsid w:val="707352C8"/>
    <w:rsid w:val="708F5FDD"/>
    <w:rsid w:val="70B54C51"/>
    <w:rsid w:val="70D22AF0"/>
    <w:rsid w:val="713F4F2F"/>
    <w:rsid w:val="719B0488"/>
    <w:rsid w:val="71B66B18"/>
    <w:rsid w:val="71C4090A"/>
    <w:rsid w:val="71D17800"/>
    <w:rsid w:val="72504B83"/>
    <w:rsid w:val="727916F5"/>
    <w:rsid w:val="73090EC9"/>
    <w:rsid w:val="7375030D"/>
    <w:rsid w:val="73C2117C"/>
    <w:rsid w:val="73E86ED0"/>
    <w:rsid w:val="74167DE3"/>
    <w:rsid w:val="7472484C"/>
    <w:rsid w:val="747B1E68"/>
    <w:rsid w:val="749F2E1A"/>
    <w:rsid w:val="750E0FD0"/>
    <w:rsid w:val="754216C1"/>
    <w:rsid w:val="75BD124E"/>
    <w:rsid w:val="75C7203D"/>
    <w:rsid w:val="764F693C"/>
    <w:rsid w:val="770A0CC3"/>
    <w:rsid w:val="771E77B9"/>
    <w:rsid w:val="77592B9B"/>
    <w:rsid w:val="777E5D17"/>
    <w:rsid w:val="77E41408"/>
    <w:rsid w:val="77F2439C"/>
    <w:rsid w:val="780954A3"/>
    <w:rsid w:val="782549A0"/>
    <w:rsid w:val="78700FBA"/>
    <w:rsid w:val="788405CB"/>
    <w:rsid w:val="78D6777B"/>
    <w:rsid w:val="7962424D"/>
    <w:rsid w:val="7A0643B5"/>
    <w:rsid w:val="7A2134D3"/>
    <w:rsid w:val="7AA92364"/>
    <w:rsid w:val="7B746C71"/>
    <w:rsid w:val="7B8117A9"/>
    <w:rsid w:val="7B8351D1"/>
    <w:rsid w:val="7BED7813"/>
    <w:rsid w:val="7C9000FA"/>
    <w:rsid w:val="7CAD6D69"/>
    <w:rsid w:val="7D5E0B05"/>
    <w:rsid w:val="7D9F624B"/>
    <w:rsid w:val="7D9F7B3D"/>
    <w:rsid w:val="7DB078EA"/>
    <w:rsid w:val="7E4342AC"/>
    <w:rsid w:val="7E536ABA"/>
    <w:rsid w:val="7E5E47BF"/>
    <w:rsid w:val="7E8537CD"/>
    <w:rsid w:val="7E93025D"/>
    <w:rsid w:val="7EAA0BE4"/>
    <w:rsid w:val="7EC73A39"/>
    <w:rsid w:val="7F0D131B"/>
    <w:rsid w:val="7F866B4F"/>
    <w:rsid w:val="7F9336FF"/>
    <w:rsid w:val="7F9C2A34"/>
    <w:rsid w:val="7FB20DB0"/>
    <w:rsid w:val="7FFC3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numPr>
        <w:ilvl w:val="3"/>
        <w:numId w:val="1"/>
      </w:numPr>
      <w:spacing w:line="360" w:lineRule="auto"/>
      <w:jc w:val="left"/>
      <w:outlineLvl w:val="3"/>
    </w:pPr>
    <w:rPr>
      <w:b/>
      <w:bCs/>
      <w:sz w:val="24"/>
    </w:rPr>
  </w:style>
  <w:style w:type="character" w:default="1" w:styleId="15">
    <w:name w:val="Default Paragraph Font"/>
    <w:semiHidden/>
    <w:qFormat/>
    <w:uiPriority w:val="0"/>
    <w:rPr>
      <w:rFonts w:ascii="Tahoma" w:hAnsi="Tahoma"/>
      <w:sz w:val="28"/>
      <w:szCs w:val="20"/>
    </w:rPr>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asciiTheme="minorHAnsi" w:hAnsiTheme="minorHAnsi" w:cstheme="minorBidi"/>
      <w:lang w:bidi="he-IL"/>
    </w:r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ind w:firstLine="0" w:firstLineChars="0"/>
      <w:jc w:val="left"/>
    </w:pPr>
    <w:rPr>
      <w:sz w:val="28"/>
      <w:szCs w:val="2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qFormat/>
    <w:uiPriority w:val="0"/>
    <w:pPr>
      <w:ind w:left="200" w:hanging="200" w:hangingChars="200"/>
    </w:pPr>
  </w:style>
  <w:style w:type="paragraph" w:styleId="12">
    <w:name w:val="Title"/>
    <w:basedOn w:val="1"/>
    <w:next w:val="1"/>
    <w:qFormat/>
    <w:uiPriority w:val="10"/>
    <w:pPr>
      <w:spacing w:before="240" w:after="60"/>
      <w:jc w:val="center"/>
      <w:outlineLvl w:val="0"/>
    </w:pPr>
    <w:rPr>
      <w:rFonts w:ascii="Calibri Light" w:hAnsi="Calibri Light" w:cs="Times New Roman"/>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table" w:customStyle="1" w:styleId="17">
    <w:name w:val="正文+宋体4"/>
    <w:basedOn w:val="13"/>
    <w:qFormat/>
    <w:uiPriority w:val="99"/>
    <w:pPr>
      <w:widowControl w:val="0"/>
      <w:jc w:val="center"/>
    </w:pPr>
    <w:rPr>
      <w:szCs w:val="21"/>
    </w:rPr>
    <w:tblP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cPr>
      <w:tcMar>
        <w:left w:w="28" w:type="dxa"/>
        <w:right w:w="28" w:type="dxa"/>
      </w:tcMar>
      <w:vAlign w:val="center"/>
    </w:tcPr>
  </w:style>
  <w:style w:type="paragraph" w:customStyle="1" w:styleId="18">
    <w:name w:val="环评批文文号"/>
    <w:basedOn w:val="1"/>
    <w:qFormat/>
    <w:uiPriority w:val="0"/>
    <w:pPr>
      <w:spacing w:before="1520" w:after="100" w:afterLines="100" w:line="600" w:lineRule="exact"/>
      <w:ind w:firstLine="0" w:firstLineChars="0"/>
      <w:jc w:val="right"/>
      <w:outlineLvl w:val="9"/>
    </w:pPr>
    <w:rPr>
      <w:rFonts w:hint="eastAsia"/>
      <w:color w:val="000000"/>
    </w:rPr>
  </w:style>
  <w:style w:type="paragraph" w:customStyle="1" w:styleId="19">
    <w:name w:val="主送机关"/>
    <w:basedOn w:val="1"/>
    <w:next w:val="1"/>
    <w:qFormat/>
    <w:uiPriority w:val="0"/>
    <w:pPr>
      <w:spacing w:line="600" w:lineRule="exact"/>
      <w:ind w:firstLine="0" w:firstLineChars="0"/>
      <w:outlineLvl w:val="9"/>
    </w:pPr>
    <w:rPr>
      <w:rFonts w:hint="eastAsia"/>
      <w:color w:val="000000"/>
    </w:rPr>
  </w:style>
  <w:style w:type="paragraph" w:customStyle="1" w:styleId="20">
    <w:name w:val="抄送单位"/>
    <w:basedOn w:val="1"/>
    <w:next w:val="1"/>
    <w:qFormat/>
    <w:uiPriority w:val="0"/>
    <w:pPr>
      <w:wordWrap w:val="0"/>
      <w:spacing w:line="600" w:lineRule="exact"/>
      <w:ind w:firstLine="0" w:firstLineChars="0"/>
      <w:jc w:val="left"/>
      <w:outlineLvl w:val="9"/>
    </w:pPr>
    <w:rPr>
      <w:rFonts w:hint="eastAsia"/>
      <w:color w:val="000000"/>
      <w:sz w:val="32"/>
      <w:szCs w:val="30"/>
    </w:rPr>
  </w:style>
  <w:style w:type="paragraph" w:customStyle="1" w:styleId="21">
    <w:name w:val="0cyx正文"/>
    <w:basedOn w:val="22"/>
    <w:qFormat/>
    <w:uiPriority w:val="0"/>
    <w:pPr>
      <w:keepNext w:val="0"/>
      <w:keepLines w:val="0"/>
      <w:ind w:firstLine="480" w:firstLineChars="200"/>
      <w:jc w:val="both"/>
      <w:outlineLvl w:val="9"/>
    </w:pPr>
    <w:rPr>
      <w:rFonts w:eastAsia="宋体"/>
      <w:b w:val="0"/>
      <w:sz w:val="24"/>
      <w:szCs w:val="24"/>
    </w:rPr>
  </w:style>
  <w:style w:type="paragraph" w:customStyle="1" w:styleId="22">
    <w:name w:val="0cyx第2标题"/>
    <w:basedOn w:val="3"/>
    <w:qFormat/>
    <w:uiPriority w:val="0"/>
    <w:pPr>
      <w:widowControl w:val="0"/>
      <w:adjustRightInd w:val="0"/>
      <w:snapToGrid w:val="0"/>
      <w:spacing w:before="0" w:after="0" w:line="360" w:lineRule="auto"/>
      <w:ind w:firstLine="0" w:firstLineChars="0"/>
      <w:jc w:val="left"/>
    </w:pPr>
    <w:rPr>
      <w:rFonts w:ascii="Times New Roman" w:hAnsi="Times New Roman" w:eastAsia="黑体"/>
    </w:rPr>
  </w:style>
  <w:style w:type="paragraph" w:customStyle="1" w:styleId="23">
    <w:name w:val="5文章正文"/>
    <w:basedOn w:val="1"/>
    <w:qFormat/>
    <w:uiPriority w:val="0"/>
    <w:pPr>
      <w:spacing w:line="360" w:lineRule="auto"/>
      <w:ind w:firstLine="200" w:firstLineChars="200"/>
    </w:pPr>
    <w:rPr>
      <w:rFonts w:cstheme="minorBidi"/>
      <w:sz w:val="24"/>
      <w:szCs w:val="24"/>
    </w:rPr>
  </w:style>
  <w:style w:type="character" w:customStyle="1" w:styleId="24">
    <w:name w:val="正文（） Char"/>
    <w:link w:val="25"/>
    <w:qFormat/>
    <w:uiPriority w:val="0"/>
    <w:rPr>
      <w:rFonts w:ascii="Times New Roman" w:hAnsi="Times New Roman" w:cs="Times New Roman"/>
      <w:color w:val="FF0000"/>
    </w:rPr>
  </w:style>
  <w:style w:type="paragraph" w:customStyle="1" w:styleId="25">
    <w:name w:val="正文（）"/>
    <w:basedOn w:val="1"/>
    <w:link w:val="24"/>
    <w:qFormat/>
    <w:uiPriority w:val="0"/>
    <w:pPr>
      <w:adjustRightInd w:val="0"/>
      <w:snapToGrid w:val="0"/>
      <w:spacing w:line="360" w:lineRule="auto"/>
      <w:ind w:firstLine="200" w:firstLineChars="200"/>
      <w:jc w:val="both"/>
    </w:pPr>
    <w:rPr>
      <w:rFonts w:ascii="Times New Roman" w:hAnsi="Times New Roman" w:cs="Times New Roman"/>
      <w:color w:val="FF0000"/>
    </w:rPr>
  </w:style>
  <w:style w:type="character" w:customStyle="1" w:styleId="26">
    <w:name w:val="表格内容（） Char"/>
    <w:link w:val="27"/>
    <w:qFormat/>
    <w:uiPriority w:val="0"/>
    <w:rPr>
      <w:rFonts w:ascii="Times New Roman" w:hAnsi="Times New Roman" w:cs="Times New Roman"/>
      <w:color w:val="FF0000"/>
      <w:sz w:val="21"/>
      <w:szCs w:val="21"/>
    </w:rPr>
  </w:style>
  <w:style w:type="paragraph" w:customStyle="1" w:styleId="27">
    <w:name w:val="表格内容（）"/>
    <w:basedOn w:val="1"/>
    <w:link w:val="26"/>
    <w:qFormat/>
    <w:uiPriority w:val="0"/>
    <w:pPr>
      <w:widowControl w:val="0"/>
      <w:adjustRightInd w:val="0"/>
      <w:snapToGrid w:val="0"/>
      <w:jc w:val="center"/>
    </w:pPr>
    <w:rPr>
      <w:rFonts w:ascii="Times New Roman" w:hAnsi="Times New Roman" w:cs="Times New Roman"/>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2327</Words>
  <Characters>2543</Characters>
  <Lines>0</Lines>
  <Paragraphs>0</Paragraphs>
  <TotalTime>62</TotalTime>
  <ScaleCrop>false</ScaleCrop>
  <LinksUpToDate>false</LinksUpToDate>
  <CharactersWithSpaces>2561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2018-08-21T07:06:00Z</dcterms:created>
  <dc:creator>Yuri</dc:creator>
  <cp:lastModifiedBy>Administrator</cp:lastModifiedBy>
  <cp:lastPrinted>2025-06-05T03:56:00Z</cp:lastPrinted>
  <dcterms:modified xsi:type="dcterms:W3CDTF">2025-07-09T09:44:41Z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B4DA65A82D7144E9AA39BB6545BC730F_13</vt:lpwstr>
  </property>
  <property fmtid="{D5CDD505-2E9C-101B-9397-08002B2CF9AE}" pid="4" name="KSOTemplateDocerSaveRecord">
    <vt:lpwstr>eyJoZGlkIjoiMDkxNDM5NTI3YTI2MzU0NTA3MzliODM2N2FlYTc2NjYiLCJ1c2VySWQiOiIzMzQ3ODA2NTEifQ==</vt:lpwstr>
  </property>
</Properties>
</file>