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00F6F">
      <w:pPr>
        <w:pStyle w:val="17"/>
        <w:pageBreakBefore w:val="0"/>
        <w:widowControl w:val="0"/>
        <w:kinsoku/>
        <w:overflowPunct/>
        <w:topLinePunct w:val="0"/>
        <w:autoSpaceDE/>
        <w:autoSpaceDN/>
        <w:bidi w:val="0"/>
        <w:adjustRightInd/>
        <w:spacing w:line="520" w:lineRule="atLeast"/>
        <w:textAlignment w:val="auto"/>
        <w:rPr>
          <w:rFonts w:hint="eastAsia"/>
        </w:rPr>
      </w:pPr>
      <w:r>
        <w:rPr>
          <w:rFonts w:hint="eastAsia"/>
        </w:rPr>
        <w:t>榕环评〔202</w:t>
      </w:r>
      <w:r>
        <w:rPr>
          <w:rFonts w:hint="eastAsia"/>
          <w:lang w:eastAsia="zh-CN"/>
        </w:rPr>
        <w:t>5</w:t>
      </w:r>
      <w:r>
        <w:rPr>
          <w:rFonts w:hint="eastAsia"/>
        </w:rPr>
        <w:t>〕</w:t>
      </w:r>
      <w:r>
        <w:rPr>
          <w:rFonts w:hint="eastAsia"/>
          <w:lang w:val="en-US" w:eastAsia="zh-CN"/>
        </w:rPr>
        <w:t>25</w:t>
      </w:r>
      <w:r>
        <w:rPr>
          <w:rFonts w:hint="eastAsia"/>
        </w:rPr>
        <w:t>号</w:t>
      </w:r>
    </w:p>
    <w:p w14:paraId="6FD97EA0">
      <w:pPr>
        <w:pStyle w:val="2"/>
        <w:keepNext/>
        <w:keepLines/>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福州</w:t>
      </w:r>
      <w:r>
        <w:rPr>
          <w:rFonts w:hint="eastAsia"/>
          <w:lang w:eastAsia="zh-CN"/>
        </w:rPr>
        <w:t>市生态环境</w:t>
      </w:r>
      <w:r>
        <w:rPr>
          <w:rFonts w:hint="eastAsia"/>
        </w:rPr>
        <w:t>局</w:t>
      </w:r>
    </w:p>
    <w:p w14:paraId="0433269B">
      <w:pPr>
        <w:pStyle w:val="2"/>
        <w:keepNext/>
        <w:keepLines/>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lang w:eastAsia="zh-CN"/>
        </w:rPr>
        <w:t>关于京台高速公路通道支线闽侯至平潭高速公路闽侯南通至福清阳下段（含南通支线）工程</w:t>
      </w:r>
      <w:r>
        <w:rPr>
          <w:rFonts w:hint="eastAsia"/>
        </w:rPr>
        <w:t>环境影响报告书的审批意见</w:t>
      </w:r>
    </w:p>
    <w:p w14:paraId="65138245">
      <w:pPr>
        <w:pageBreakBefore w:val="0"/>
        <w:widowControl w:val="0"/>
        <w:kinsoku/>
        <w:overflowPunct/>
        <w:topLinePunct w:val="0"/>
        <w:autoSpaceDE/>
        <w:autoSpaceDN/>
        <w:bidi w:val="0"/>
        <w:adjustRightInd/>
        <w:spacing w:line="520" w:lineRule="atLeast"/>
        <w:textAlignment w:val="auto"/>
        <w:rPr>
          <w:rFonts w:hint="eastAsia" w:eastAsia="仿宋_GB2312"/>
          <w:lang w:val="en-US" w:eastAsia="zh-CN"/>
        </w:rPr>
      </w:pPr>
    </w:p>
    <w:p w14:paraId="52FC3F9E">
      <w:pPr>
        <w:pStyle w:val="19"/>
        <w:keepNext w:val="0"/>
        <w:keepLines w:val="0"/>
        <w:pageBreakBefore w:val="0"/>
        <w:widowControl w:val="0"/>
        <w:kinsoku/>
        <w:overflowPunct/>
        <w:topLinePunct w:val="0"/>
        <w:autoSpaceDE/>
        <w:autoSpaceDN/>
        <w:bidi w:val="0"/>
        <w:adjustRightInd/>
        <w:snapToGrid/>
        <w:spacing w:line="520" w:lineRule="exact"/>
        <w:ind w:right="0" w:rightChars="0"/>
        <w:textAlignment w:val="auto"/>
        <w:rPr>
          <w:rFonts w:hint="eastAsia"/>
        </w:rPr>
      </w:pPr>
      <w:r>
        <w:rPr>
          <w:rFonts w:hint="eastAsia"/>
          <w:lang w:val="en-US" w:eastAsia="zh-CN"/>
        </w:rPr>
        <w:t>福州双福高速公路有限责任公司</w:t>
      </w:r>
      <w:r>
        <w:rPr>
          <w:rFonts w:hint="eastAsia"/>
        </w:rPr>
        <w:t>：</w:t>
      </w:r>
    </w:p>
    <w:p w14:paraId="563BD614">
      <w:pPr>
        <w:keepNext w:val="0"/>
        <w:keepLines w:val="0"/>
        <w:pageBreakBefore w:val="0"/>
        <w:widowControl w:val="0"/>
        <w:kinsoku/>
        <w:overflowPunct/>
        <w:topLinePunct w:val="0"/>
        <w:autoSpaceDE/>
        <w:autoSpaceDN/>
        <w:bidi w:val="0"/>
        <w:adjustRightInd/>
        <w:snapToGrid/>
        <w:spacing w:line="520" w:lineRule="exact"/>
        <w:ind w:right="0" w:rightChars="0"/>
        <w:textAlignment w:val="auto"/>
        <w:rPr>
          <w:rFonts w:hint="eastAsia"/>
          <w:lang w:val="en-US" w:eastAsia="zh-CN"/>
        </w:rPr>
      </w:pPr>
      <w:r>
        <w:rPr>
          <w:rFonts w:hint="eastAsia"/>
          <w:lang w:val="en-US" w:eastAsia="zh-CN"/>
        </w:rPr>
        <w:t>你司报送的《京台高速公路通道支线闽侯至平潭高速公路闽侯南通至福清阳下段（含南通支线）工程环境影响报告书》（以下简称《报告书》）及申请审批报告收悉。根据《中华人民共和国环境影响评价法》第二十二条等规定，经组织技术审查，并征求福州市仓山生态环境局、福州市闽侯生态环境局、福州市福清生态环境局意见，现提出审批意见如下：</w:t>
      </w:r>
    </w:p>
    <w:p w14:paraId="21A74BBC">
      <w:pPr>
        <w:keepNext w:val="0"/>
        <w:keepLines w:val="0"/>
        <w:pageBreakBefore w:val="0"/>
        <w:widowControl w:val="0"/>
        <w:kinsoku/>
        <w:overflowPunct/>
        <w:topLinePunct w:val="0"/>
        <w:autoSpaceDE/>
        <w:autoSpaceDN/>
        <w:bidi w:val="0"/>
        <w:adjustRightInd/>
        <w:snapToGrid/>
        <w:spacing w:line="520" w:lineRule="exact"/>
        <w:ind w:right="0" w:rightChars="0"/>
        <w:textAlignment w:val="auto"/>
        <w:rPr>
          <w:rFonts w:hint="eastAsia" w:eastAsia="仿宋_GB2312"/>
          <w:color w:val="000000" w:themeColor="text1"/>
          <w:highlight w:val="yellow"/>
          <w:lang w:val="en-US" w:eastAsia="zh-CN"/>
          <w14:textFill>
            <w14:solidFill>
              <w14:schemeClr w14:val="tx1"/>
            </w14:solidFill>
          </w14:textFill>
        </w:rPr>
      </w:pPr>
      <w:r>
        <w:rPr>
          <w:rFonts w:hint="eastAsia"/>
          <w:highlight w:val="none"/>
          <w:lang w:val="en-US" w:eastAsia="zh-CN"/>
        </w:rPr>
        <w:t>一、京台高速公路通道支线闽侯至平潭高速公路闽侯南通至福清阳下段（含南通支线）工程由闽侯至平潭高速公路闽侯南通至福清阳下段和南通支线组成</w:t>
      </w:r>
      <w:r>
        <w:rPr>
          <w:rFonts w:hint="eastAsia"/>
          <w:color w:val="000000" w:themeColor="text1"/>
          <w:highlight w:val="none"/>
          <w:lang w:val="en-US" w:eastAsia="zh-CN"/>
          <w14:textFill>
            <w14:solidFill>
              <w14:schemeClr w14:val="tx1"/>
            </w14:solidFill>
          </w14:textFill>
        </w:rPr>
        <w:t>，公路等级为高速公路。</w:t>
      </w:r>
      <w:r>
        <w:rPr>
          <w:rFonts w:hint="eastAsia"/>
          <w:highlight w:val="none"/>
          <w:lang w:val="en-US" w:eastAsia="zh-CN"/>
        </w:rPr>
        <w:t>闽侯南通至福清阳下段起于闽侯县南通镇南通互通，经闽侯县青口镇、福清市音西街道、阳下街道，终点设北亭枢纽衔接长福高速公路;南通支线起于闽侯县南通互通，经闽侯县南通镇文山枢纽，终于仓山区三环快速路天水枢纽，</w:t>
      </w:r>
      <w:r>
        <w:rPr>
          <w:rFonts w:hint="eastAsia"/>
          <w:color w:val="000000" w:themeColor="text1"/>
          <w:highlight w:val="none"/>
          <w:lang w:val="en-US" w:eastAsia="zh-CN"/>
          <w14:textFill>
            <w14:solidFill>
              <w14:schemeClr w14:val="tx1"/>
            </w14:solidFill>
          </w14:textFill>
        </w:rPr>
        <w:t>项目全长35.341公里，其中</w:t>
      </w:r>
      <w:r>
        <w:rPr>
          <w:rFonts w:hint="eastAsia"/>
          <w:highlight w:val="none"/>
          <w:lang w:val="en-US" w:eastAsia="zh-CN"/>
        </w:rPr>
        <w:t>:闽侯南通至福清阳下段项目26.8公里;南通支线项目8.5公里。全线设置天水、文山、南通、西台戊辰复合式、东台、音西、阳下、北亭8处互通式立交；</w:t>
      </w:r>
      <w:r>
        <w:rPr>
          <w:rFonts w:hint="eastAsia"/>
          <w:color w:val="000000" w:themeColor="text1"/>
          <w:highlight w:val="none"/>
          <w:lang w:val="en-US" w:eastAsia="zh-CN"/>
          <w14:textFill>
            <w14:solidFill>
              <w14:schemeClr w14:val="tx1"/>
            </w14:solidFill>
          </w14:textFill>
        </w:rPr>
        <w:t>设置5处收费站（1处主线收费站、南通收费站、东台收费站、音西收费站、阳下收费站），服务区1处（南通服务区）、停车区1处（阳下停车区）;南通支</w:t>
      </w:r>
      <w:r>
        <w:rPr>
          <w:rFonts w:hint="eastAsia"/>
          <w:highlight w:val="none"/>
          <w:lang w:val="en-US" w:eastAsia="zh-CN"/>
        </w:rPr>
        <w:t>线设置文山洲特大桥跨乌龙江</w:t>
      </w:r>
      <w:r>
        <w:rPr>
          <w:rFonts w:hint="eastAsia"/>
          <w:color w:val="000000" w:themeColor="text1"/>
          <w:highlight w:val="none"/>
          <w:lang w:val="en-US" w:eastAsia="zh-CN"/>
          <w14:textFill>
            <w14:solidFill>
              <w14:schemeClr w14:val="tx1"/>
            </w14:solidFill>
          </w14:textFill>
        </w:rPr>
        <w:t>。</w:t>
      </w:r>
    </w:p>
    <w:p w14:paraId="6F57B90C">
      <w:pPr>
        <w:keepNext w:val="0"/>
        <w:keepLines w:val="0"/>
        <w:pageBreakBefore w:val="0"/>
        <w:widowControl w:val="0"/>
        <w:kinsoku/>
        <w:overflowPunct/>
        <w:topLinePunct w:val="0"/>
        <w:autoSpaceDE/>
        <w:autoSpaceDN/>
        <w:bidi w:val="0"/>
        <w:adjustRightInd/>
        <w:snapToGrid/>
        <w:spacing w:line="520" w:lineRule="exact"/>
        <w:ind w:right="0" w:rightChars="0"/>
        <w:textAlignment w:val="auto"/>
        <w:rPr>
          <w:rFonts w:hint="default"/>
          <w:lang w:val="en-US" w:eastAsia="zh-CN"/>
        </w:rPr>
      </w:pPr>
      <w:r>
        <w:rPr>
          <w:rFonts w:hint="eastAsia"/>
          <w:lang w:val="en-US" w:eastAsia="zh-CN"/>
        </w:rPr>
        <w:t>根据《报告书》评价结论和福州市环境影响评价技术中心的技术评估报告（</w:t>
      </w:r>
      <w:r>
        <w:rPr>
          <w:rFonts w:hint="eastAsia"/>
          <w:highlight w:val="none"/>
          <w:lang w:val="en-US" w:eastAsia="zh-CN"/>
        </w:rPr>
        <w:t>编号2-2025-017</w:t>
      </w:r>
      <w:r>
        <w:rPr>
          <w:rFonts w:hint="eastAsia"/>
          <w:lang w:val="en-US" w:eastAsia="zh-CN"/>
        </w:rPr>
        <w:t>）</w:t>
      </w:r>
      <w:r>
        <w:rPr>
          <w:rFonts w:hint="eastAsia"/>
          <w:highlight w:val="none"/>
          <w:lang w:val="en-US" w:eastAsia="zh-CN"/>
        </w:rPr>
        <w:t>，</w:t>
      </w:r>
      <w:r>
        <w:rPr>
          <w:rFonts w:hint="eastAsia"/>
        </w:rPr>
        <w:t>该</w:t>
      </w:r>
      <w:r>
        <w:rPr>
          <w:rFonts w:hint="eastAsia"/>
          <w:lang w:eastAsia="zh-CN"/>
        </w:rPr>
        <w:t>项目建设符合国家产业政策和福州市生态环境分区管控要求，</w:t>
      </w:r>
      <w:r>
        <w:rPr>
          <w:rFonts w:hint="eastAsia"/>
          <w:lang w:val="en-US" w:eastAsia="zh-CN"/>
        </w:rPr>
        <w:t>符合《福州市国土空间总体规划（2021-2035）》，</w:t>
      </w:r>
      <w:r>
        <w:rPr>
          <w:rFonts w:hint="eastAsia"/>
          <w:color w:val="000000" w:themeColor="text1"/>
          <w:highlight w:val="none"/>
          <w:lang w:val="en-US" w:eastAsia="zh-CN"/>
          <w14:textFill>
            <w14:solidFill>
              <w14:schemeClr w14:val="tx1"/>
            </w14:solidFill>
          </w14:textFill>
        </w:rPr>
        <w:t>符合《福建省国省道公路网规划(2024-2035年)》及其规划环评要求。</w:t>
      </w:r>
      <w:r>
        <w:rPr>
          <w:rFonts w:hint="eastAsia"/>
          <w:lang w:val="en-US" w:eastAsia="zh-CN"/>
        </w:rPr>
        <w:t>在严格落实《报告书》提出的各项环境保护措施，加强环境管理的前提下，从环境影响角度分析，项目建设可行。</w:t>
      </w:r>
      <w:r>
        <w:rPr>
          <w:rFonts w:hint="eastAsia"/>
        </w:rPr>
        <w:t>同意</w:t>
      </w:r>
      <w:r>
        <w:rPr>
          <w:rFonts w:hint="eastAsia"/>
          <w:lang w:eastAsia="zh-CN"/>
        </w:rPr>
        <w:t>项目</w:t>
      </w:r>
      <w:r>
        <w:rPr>
          <w:rFonts w:hint="eastAsia"/>
        </w:rPr>
        <w:t>按照</w:t>
      </w:r>
      <w:r>
        <w:rPr>
          <w:rFonts w:hint="eastAsia"/>
          <w:lang w:val="en-US" w:eastAsia="zh-CN"/>
        </w:rPr>
        <w:t>《报告书》</w:t>
      </w:r>
      <w:r>
        <w:rPr>
          <w:rFonts w:hint="eastAsia"/>
        </w:rPr>
        <w:t>中所列的性质、规模、地点、采用的生产工艺</w:t>
      </w:r>
      <w:r>
        <w:rPr>
          <w:rFonts w:hint="eastAsia"/>
          <w:lang w:eastAsia="zh-CN"/>
        </w:rPr>
        <w:t>和</w:t>
      </w:r>
      <w:r>
        <w:rPr>
          <w:rFonts w:hint="eastAsia"/>
        </w:rPr>
        <w:t>防治污染、防止生态破坏的措施进行建设</w:t>
      </w:r>
      <w:r>
        <w:rPr>
          <w:rFonts w:hint="eastAsia"/>
          <w:lang w:val="en-US" w:eastAsia="zh-CN"/>
        </w:rPr>
        <w:t>。</w:t>
      </w:r>
    </w:p>
    <w:p w14:paraId="56CF556E">
      <w:pPr>
        <w:keepNext w:val="0"/>
        <w:keepLines w:val="0"/>
        <w:pageBreakBefore w:val="0"/>
        <w:widowControl w:val="0"/>
        <w:kinsoku/>
        <w:overflowPunct/>
        <w:topLinePunct w:val="0"/>
        <w:autoSpaceDE/>
        <w:autoSpaceDN/>
        <w:bidi w:val="0"/>
        <w:adjustRightInd/>
        <w:snapToGrid/>
        <w:spacing w:line="520" w:lineRule="exact"/>
        <w:ind w:right="0" w:rightChars="0"/>
        <w:textAlignment w:val="auto"/>
        <w:rPr>
          <w:rFonts w:hint="eastAsia"/>
          <w:lang w:eastAsia="zh-CN"/>
        </w:rPr>
      </w:pPr>
      <w:r>
        <w:rPr>
          <w:rFonts w:hint="eastAsia"/>
          <w:lang w:val="en-US" w:eastAsia="zh-CN"/>
        </w:rPr>
        <w:t>二、项目应严格落实《报告书》提出的各项生态保护、污染防治、风险防控等措施，并重点做好以下工作</w:t>
      </w:r>
      <w:r>
        <w:rPr>
          <w:rFonts w:hint="eastAsia"/>
          <w:lang w:eastAsia="zh-CN"/>
        </w:rPr>
        <w:t>：</w:t>
      </w:r>
    </w:p>
    <w:p w14:paraId="7E2E678B">
      <w:pPr>
        <w:keepNext w:val="0"/>
        <w:keepLines w:val="0"/>
        <w:pageBreakBefore w:val="0"/>
        <w:widowControl w:val="0"/>
        <w:kinsoku/>
        <w:overflowPunct/>
        <w:topLinePunct w:val="0"/>
        <w:autoSpaceDE/>
        <w:autoSpaceDN/>
        <w:bidi w:val="0"/>
        <w:adjustRightInd/>
        <w:snapToGrid/>
        <w:spacing w:line="520" w:lineRule="exact"/>
        <w:ind w:right="0" w:rightChars="0" w:firstLine="643" w:firstLineChars="200"/>
        <w:textAlignment w:val="auto"/>
        <w:rPr>
          <w:rFonts w:hint="default"/>
          <w:b w:val="0"/>
          <w:bCs w:val="0"/>
          <w:sz w:val="32"/>
          <w:szCs w:val="32"/>
          <w:highlight w:val="none"/>
          <w:lang w:val="en-US" w:eastAsia="zh-CN"/>
        </w:rPr>
      </w:pPr>
      <w:r>
        <w:rPr>
          <w:rFonts w:hint="eastAsia"/>
          <w:b/>
          <w:bCs/>
          <w:lang w:val="en-US" w:eastAsia="zh-CN"/>
        </w:rPr>
        <w:t>（一）生态环境防治措施。</w:t>
      </w:r>
      <w:r>
        <w:rPr>
          <w:rFonts w:hint="eastAsia"/>
          <w:b w:val="0"/>
          <w:bCs w:val="0"/>
          <w:highlight w:val="none"/>
          <w:lang w:val="en-US" w:eastAsia="zh-CN"/>
        </w:rPr>
        <w:t>不得在饮用水源保护区设置施工便道、施工场地、表土堆场等，施工结束后应及时对临时占地进行生态恢复，优化3#临时转运场和5#施工生产生活区选址。严格按照水土保持行政主管部门批复的水土保持方案做好水土保持工作。对沿线饮用水水源保护区、自然保护区、自然公园等环境敏感区要加强环境管理，尽量减小环境影响，并做好生态环境跟踪监测。项目涉及占用</w:t>
      </w:r>
      <w:r>
        <w:rPr>
          <w:rFonts w:hint="eastAsia"/>
          <w:b w:val="0"/>
          <w:bCs w:val="0"/>
          <w:color w:val="000000" w:themeColor="text1"/>
          <w:highlight w:val="none"/>
          <w:lang w:val="en-US" w:eastAsia="zh-CN"/>
          <w14:textFill>
            <w14:solidFill>
              <w14:schemeClr w14:val="tx1"/>
            </w14:solidFill>
          </w14:textFill>
        </w:rPr>
        <w:t>基本农业、生态公益林、</w:t>
      </w:r>
      <w:r>
        <w:rPr>
          <w:rFonts w:hint="eastAsia"/>
          <w:b w:val="0"/>
          <w:bCs w:val="0"/>
          <w:highlight w:val="none"/>
          <w:lang w:val="en-US" w:eastAsia="zh-CN"/>
        </w:rPr>
        <w:t>一般湿地等，</w:t>
      </w:r>
      <w:r>
        <w:rPr>
          <w:rFonts w:hint="eastAsia"/>
          <w:b w:val="0"/>
          <w:bCs w:val="0"/>
          <w:color w:val="000000" w:themeColor="text1"/>
          <w:highlight w:val="none"/>
          <w:lang w:val="en-US" w:eastAsia="zh-CN"/>
          <w14:textFill>
            <w14:solidFill>
              <w14:schemeClr w14:val="tx1"/>
            </w14:solidFill>
          </w14:textFill>
        </w:rPr>
        <w:t>项目开工建设前应取得相关主管部门同意。</w:t>
      </w:r>
    </w:p>
    <w:p w14:paraId="0AA48617">
      <w:pPr>
        <w:keepNext w:val="0"/>
        <w:keepLines w:val="0"/>
        <w:pageBreakBefore w:val="0"/>
        <w:widowControl w:val="0"/>
        <w:kinsoku/>
        <w:overflowPunct/>
        <w:topLinePunct w:val="0"/>
        <w:autoSpaceDE/>
        <w:autoSpaceDN/>
        <w:bidi w:val="0"/>
        <w:adjustRightInd/>
        <w:snapToGrid/>
        <w:spacing w:line="520" w:lineRule="exact"/>
        <w:textAlignment w:val="auto"/>
        <w:rPr>
          <w:rFonts w:hint="eastAsia"/>
          <w:highlight w:val="none"/>
          <w:lang w:val="en-US" w:eastAsia="zh-CN"/>
        </w:rPr>
      </w:pPr>
      <w:r>
        <w:rPr>
          <w:rFonts w:hint="eastAsia"/>
          <w:b/>
          <w:bCs/>
        </w:rPr>
        <w:t>（</w:t>
      </w:r>
      <w:r>
        <w:rPr>
          <w:rFonts w:hint="eastAsia"/>
          <w:b/>
          <w:bCs/>
          <w:lang w:eastAsia="zh-CN"/>
        </w:rPr>
        <w:t>二</w:t>
      </w:r>
      <w:r>
        <w:rPr>
          <w:rFonts w:hint="eastAsia"/>
          <w:b/>
          <w:bCs/>
        </w:rPr>
        <w:t>）</w:t>
      </w:r>
      <w:r>
        <w:rPr>
          <w:rFonts w:hint="eastAsia"/>
          <w:b/>
          <w:bCs/>
          <w:highlight w:val="none"/>
        </w:rPr>
        <w:t>水</w:t>
      </w:r>
      <w:r>
        <w:rPr>
          <w:rFonts w:hint="eastAsia"/>
          <w:b/>
          <w:bCs/>
          <w:highlight w:val="none"/>
          <w:lang w:eastAsia="zh-CN"/>
        </w:rPr>
        <w:t>污染防治</w:t>
      </w:r>
      <w:r>
        <w:rPr>
          <w:rFonts w:hint="eastAsia"/>
          <w:b/>
          <w:bCs/>
          <w:highlight w:val="none"/>
        </w:rPr>
        <w:t>措施</w:t>
      </w:r>
      <w:r>
        <w:rPr>
          <w:rFonts w:hint="eastAsia"/>
          <w:b/>
          <w:bCs/>
          <w:highlight w:val="none"/>
          <w:lang w:eastAsia="zh-CN"/>
        </w:rPr>
        <w:t>。</w:t>
      </w:r>
      <w:r>
        <w:rPr>
          <w:rFonts w:hint="eastAsia"/>
          <w:highlight w:val="none"/>
          <w:lang w:eastAsia="zh-CN"/>
        </w:rPr>
        <w:t>严格落实《报告书》提出的水污染防治措施。</w:t>
      </w:r>
      <w:r>
        <w:rPr>
          <w:rFonts w:hint="eastAsia"/>
          <w:highlight w:val="none"/>
          <w:lang w:val="en-US" w:eastAsia="zh-CN"/>
        </w:rPr>
        <w:t>施工期施工场地产生的生活污水由抽粪车定时清运，生产废水全部处理达标后回用于施工场地，不外排。运营期南通服务区、南通收费站+养护工区和主线收费站产生的污水经预处理后通过污水管道，进入南通镇污水处理厂处理，阳下停车区和阳下收费站产生的污水经预处理后通过污水管道，进入福清市第二污水处理厂处理</w:t>
      </w:r>
      <w:r>
        <w:rPr>
          <w:rFonts w:hint="eastAsia"/>
          <w:highlight w:val="none"/>
          <w:lang w:eastAsia="zh-CN"/>
        </w:rPr>
        <w:t>。</w:t>
      </w:r>
      <w:r>
        <w:rPr>
          <w:rFonts w:hint="eastAsia"/>
          <w:highlight w:val="none"/>
          <w:lang w:val="en-US" w:eastAsia="zh-CN"/>
        </w:rPr>
        <w:t>东台收费站和音西收费站的生活污水，回用于收费站的绿化灌溉，不外排，并配套设置回用水池储存尾水。涉水桥墩施工前应设置泥浆池和沉淀池，并预留足够容量，施工过程中的钻孔出碴、钻孔结束后的废浆以及围堰吸泥清基封底产生的污泥等需设置专用船舶承接运到岸上指定地点处理，严禁向水体中抛弃。</w:t>
      </w:r>
    </w:p>
    <w:p w14:paraId="6D9823FF">
      <w:pPr>
        <w:keepNext w:val="0"/>
        <w:keepLines w:val="0"/>
        <w:pageBreakBefore w:val="0"/>
        <w:widowControl w:val="0"/>
        <w:kinsoku/>
        <w:overflowPunct/>
        <w:topLinePunct w:val="0"/>
        <w:autoSpaceDE/>
        <w:autoSpaceDN/>
        <w:bidi w:val="0"/>
        <w:adjustRightInd/>
        <w:snapToGrid/>
        <w:spacing w:line="520" w:lineRule="exact"/>
        <w:textAlignment w:val="auto"/>
        <w:rPr>
          <w:rFonts w:hint="eastAsia"/>
          <w:lang w:eastAsia="zh-CN"/>
        </w:rPr>
      </w:pPr>
      <w:r>
        <w:rPr>
          <w:rFonts w:hint="eastAsia"/>
          <w:b/>
          <w:bCs/>
          <w:lang w:eastAsia="zh-CN"/>
        </w:rPr>
        <w:t>（三）大气污染防治</w:t>
      </w:r>
      <w:r>
        <w:rPr>
          <w:rFonts w:hint="eastAsia"/>
          <w:b/>
          <w:bCs/>
        </w:rPr>
        <w:t>措施</w:t>
      </w:r>
      <w:r>
        <w:rPr>
          <w:rFonts w:hint="eastAsia"/>
          <w:b/>
          <w:bCs/>
          <w:lang w:eastAsia="zh-CN"/>
        </w:rPr>
        <w:t>。</w:t>
      </w:r>
      <w:r>
        <w:rPr>
          <w:rFonts w:hint="eastAsia"/>
          <w:lang w:eastAsia="zh-CN"/>
        </w:rPr>
        <w:t>施工期</w:t>
      </w:r>
      <w:r>
        <w:rPr>
          <w:rFonts w:hint="eastAsia"/>
          <w:lang w:val="en-US" w:eastAsia="zh-CN"/>
        </w:rPr>
        <w:t>加强场地道路洒水降尘，减少施工及车辆运输扬尘影响。沥青砼搅拌站中沥青烟通过集气罩负压收集后经活性炭吸附净化装置处理后经15米高排气筒高空排放。表土临时堆场应设置合理的挡墙、截排水沟等防护措施，表土堆置应采取覆盖防尘网等降尘措施。</w:t>
      </w:r>
      <w:r>
        <w:rPr>
          <w:rFonts w:hint="eastAsia"/>
        </w:rPr>
        <w:t>加强路域</w:t>
      </w:r>
      <w:r>
        <w:rPr>
          <w:rFonts w:hint="eastAsia"/>
          <w:lang w:eastAsia="zh-CN"/>
        </w:rPr>
        <w:t>、</w:t>
      </w:r>
      <w:r>
        <w:rPr>
          <w:rFonts w:hint="eastAsia"/>
        </w:rPr>
        <w:t>桥梁护栏的绿化带建设，</w:t>
      </w:r>
      <w:r>
        <w:rPr>
          <w:rFonts w:hint="eastAsia"/>
          <w:lang w:eastAsia="zh-CN"/>
        </w:rPr>
        <w:t>减缓运营期</w:t>
      </w:r>
      <w:r>
        <w:rPr>
          <w:rFonts w:hint="eastAsia"/>
        </w:rPr>
        <w:t>汽车尾气</w:t>
      </w:r>
      <w:r>
        <w:rPr>
          <w:rFonts w:hint="eastAsia"/>
          <w:lang w:eastAsia="zh-CN"/>
        </w:rPr>
        <w:t>对周边大气环境</w:t>
      </w:r>
      <w:r>
        <w:rPr>
          <w:rFonts w:hint="eastAsia"/>
        </w:rPr>
        <w:t>的影响</w:t>
      </w:r>
      <w:r>
        <w:rPr>
          <w:rFonts w:hint="eastAsia"/>
          <w:lang w:eastAsia="zh-CN"/>
        </w:rPr>
        <w:t>。</w:t>
      </w:r>
    </w:p>
    <w:p w14:paraId="186FC4A7">
      <w:pPr>
        <w:keepNext w:val="0"/>
        <w:keepLines w:val="0"/>
        <w:pageBreakBefore w:val="0"/>
        <w:widowControl w:val="0"/>
        <w:kinsoku/>
        <w:overflowPunct/>
        <w:topLinePunct w:val="0"/>
        <w:autoSpaceDE/>
        <w:autoSpaceDN/>
        <w:bidi w:val="0"/>
        <w:adjustRightInd/>
        <w:snapToGrid/>
        <w:spacing w:line="520" w:lineRule="exact"/>
        <w:textAlignment w:val="auto"/>
        <w:rPr>
          <w:rFonts w:hint="eastAsia"/>
          <w:highlight w:val="yellow"/>
          <w:lang w:eastAsia="zh-CN"/>
        </w:rPr>
      </w:pPr>
      <w:r>
        <w:rPr>
          <w:rFonts w:hint="eastAsia"/>
          <w:b/>
          <w:bCs/>
        </w:rPr>
        <w:t>（</w:t>
      </w:r>
      <w:r>
        <w:rPr>
          <w:rFonts w:hint="eastAsia"/>
          <w:b/>
          <w:bCs/>
          <w:lang w:eastAsia="zh-CN"/>
        </w:rPr>
        <w:t>四</w:t>
      </w:r>
      <w:r>
        <w:rPr>
          <w:rFonts w:hint="eastAsia"/>
          <w:b/>
          <w:bCs/>
        </w:rPr>
        <w:t>）噪声</w:t>
      </w:r>
      <w:r>
        <w:rPr>
          <w:rFonts w:hint="eastAsia"/>
          <w:b/>
          <w:bCs/>
          <w:lang w:eastAsia="zh-CN"/>
        </w:rPr>
        <w:t>污染防治</w:t>
      </w:r>
      <w:r>
        <w:rPr>
          <w:rFonts w:hint="eastAsia"/>
          <w:b/>
          <w:bCs/>
        </w:rPr>
        <w:t>措施</w:t>
      </w:r>
      <w:r>
        <w:rPr>
          <w:rFonts w:hint="eastAsia"/>
          <w:b/>
          <w:bCs/>
          <w:lang w:eastAsia="zh-CN"/>
        </w:rPr>
        <w:t>。</w:t>
      </w:r>
      <w:r>
        <w:rPr>
          <w:rFonts w:hint="eastAsia"/>
          <w:highlight w:val="none"/>
          <w:lang w:eastAsia="zh-CN"/>
        </w:rPr>
        <w:t>合理安排施工时间和布置施工场地，临近敏感建筑物的施工场地设置临时隔声围墙。在进行爆破施工过程中，采用低噪声先进的爆破工艺，合理安排爆破时间。</w:t>
      </w:r>
      <w:r>
        <w:rPr>
          <w:rFonts w:hint="eastAsia"/>
          <w:lang w:eastAsia="zh-CN"/>
        </w:rPr>
        <w:t>对全线运营期噪声预测超标的声环境敏感目标，采取设置声屏障或安装隔声窗等综合降噪措施，确保声环境质量达标。加强对沿线声环境敏感目标的噪声监测，并预留资金，根据跟踪监测结果适时增补、完善沿线噪声防治措施；提请并积极配合当地政府做好高速公路沿线两侧用地的规划控制，避免交通噪声对新增声环境敏感目标的噪声影响。</w:t>
      </w:r>
    </w:p>
    <w:p w14:paraId="3589F2DC">
      <w:pPr>
        <w:keepNext w:val="0"/>
        <w:keepLines w:val="0"/>
        <w:pageBreakBefore w:val="0"/>
        <w:widowControl w:val="0"/>
        <w:kinsoku/>
        <w:overflowPunct/>
        <w:topLinePunct w:val="0"/>
        <w:autoSpaceDE/>
        <w:autoSpaceDN/>
        <w:bidi w:val="0"/>
        <w:adjustRightInd/>
        <w:snapToGrid/>
        <w:spacing w:line="520" w:lineRule="exact"/>
        <w:textAlignment w:val="auto"/>
        <w:rPr>
          <w:rFonts w:hint="eastAsia"/>
          <w:highlight w:val="none"/>
          <w:lang w:eastAsia="zh-CN"/>
        </w:rPr>
      </w:pPr>
      <w:r>
        <w:rPr>
          <w:rFonts w:hint="eastAsia"/>
          <w:b/>
          <w:bCs/>
          <w:highlight w:val="none"/>
          <w:lang w:eastAsia="zh-CN"/>
        </w:rPr>
        <w:t>（五）固体废物污染防治</w:t>
      </w:r>
      <w:r>
        <w:rPr>
          <w:rFonts w:hint="eastAsia"/>
          <w:b/>
          <w:bCs/>
          <w:highlight w:val="none"/>
        </w:rPr>
        <w:t>措施</w:t>
      </w:r>
      <w:r>
        <w:rPr>
          <w:rFonts w:hint="eastAsia"/>
          <w:b/>
          <w:bCs/>
          <w:highlight w:val="none"/>
          <w:lang w:eastAsia="zh-CN"/>
        </w:rPr>
        <w:t>。</w:t>
      </w:r>
      <w:r>
        <w:rPr>
          <w:rFonts w:hint="eastAsia"/>
          <w:highlight w:val="none"/>
          <w:lang w:eastAsia="zh-CN"/>
        </w:rPr>
        <w:t>施工期产生的</w:t>
      </w:r>
      <w:r>
        <w:rPr>
          <w:rFonts w:hint="eastAsia"/>
          <w:b w:val="0"/>
          <w:bCs w:val="0"/>
          <w:color w:val="auto"/>
          <w:highlight w:val="none"/>
          <w:u w:val="none"/>
        </w:rPr>
        <w:t>工程建筑垃圾应尽量回收利用，对不可利用部分应收集后运至指定地点进行消纳处置</w:t>
      </w:r>
      <w:r>
        <w:rPr>
          <w:rFonts w:hint="eastAsia"/>
          <w:b w:val="0"/>
          <w:bCs w:val="0"/>
          <w:color w:val="auto"/>
          <w:highlight w:val="none"/>
          <w:u w:val="none"/>
          <w:lang w:eastAsia="zh-CN"/>
        </w:rPr>
        <w:t>，</w:t>
      </w:r>
      <w:r>
        <w:rPr>
          <w:rFonts w:hint="eastAsia"/>
          <w:b w:val="0"/>
          <w:bCs w:val="0"/>
          <w:color w:val="auto"/>
          <w:highlight w:val="none"/>
          <w:u w:val="none"/>
          <w:lang w:val="en-US" w:eastAsia="zh-CN"/>
        </w:rPr>
        <w:t>不得随意处置。每个施工场地的隔油沉淀池沉泥，废机油、废导热油、废活性炭暂存于危废储存间，并委托有资质单位处置。</w:t>
      </w:r>
      <w:r>
        <w:rPr>
          <w:rFonts w:hint="eastAsia"/>
          <w:highlight w:val="none"/>
          <w:lang w:eastAsia="zh-CN"/>
        </w:rPr>
        <w:t>南通服务区、阳下停车区和养护工区设置危废暂存间，车辆维修产生的机油、过滤棉以及各类油类包装容器</w:t>
      </w:r>
      <w:r>
        <w:rPr>
          <w:rFonts w:hint="eastAsia"/>
          <w:highlight w:val="none"/>
          <w:lang w:val="en-US" w:eastAsia="zh-CN"/>
        </w:rPr>
        <w:t>等危险废物委托有资质单位处置。车辆维修产生的废轮胎、废包装材料、废金属零件等一般固体废物按照《报告书》及相关规定要求处理处置。</w:t>
      </w:r>
      <w:r>
        <w:rPr>
          <w:rFonts w:hint="eastAsia"/>
          <w:highlight w:val="none"/>
          <w:lang w:eastAsia="zh-CN"/>
        </w:rPr>
        <w:t>收费站产生的生活垃圾收集后，</w:t>
      </w:r>
      <w:r>
        <w:rPr>
          <w:rFonts w:hint="eastAsia"/>
          <w:highlight w:val="none"/>
          <w:lang w:val="en-US" w:eastAsia="zh-CN"/>
        </w:rPr>
        <w:t>委托环卫部门统一处理。</w:t>
      </w:r>
    </w:p>
    <w:p w14:paraId="1D3445A3">
      <w:pPr>
        <w:keepNext w:val="0"/>
        <w:keepLines w:val="0"/>
        <w:pageBreakBefore w:val="0"/>
        <w:widowControl w:val="0"/>
        <w:kinsoku/>
        <w:overflowPunct/>
        <w:topLinePunct w:val="0"/>
        <w:autoSpaceDE/>
        <w:autoSpaceDN/>
        <w:bidi w:val="0"/>
        <w:adjustRightInd/>
        <w:snapToGrid/>
        <w:spacing w:line="520" w:lineRule="exact"/>
        <w:ind w:right="0" w:rightChars="0"/>
        <w:textAlignment w:val="auto"/>
        <w:rPr>
          <w:rFonts w:hint="default"/>
          <w:lang w:val="en-US" w:eastAsia="zh-CN"/>
        </w:rPr>
      </w:pPr>
      <w:r>
        <w:rPr>
          <w:rFonts w:hint="eastAsia"/>
          <w:b/>
          <w:bCs/>
        </w:rPr>
        <w:t>（</w:t>
      </w:r>
      <w:r>
        <w:rPr>
          <w:rFonts w:hint="eastAsia"/>
          <w:b/>
          <w:bCs/>
          <w:lang w:eastAsia="zh-CN"/>
        </w:rPr>
        <w:t>六</w:t>
      </w:r>
      <w:r>
        <w:rPr>
          <w:rFonts w:hint="eastAsia"/>
          <w:b/>
          <w:bCs/>
        </w:rPr>
        <w:t>）环境风险防范</w:t>
      </w:r>
      <w:r>
        <w:rPr>
          <w:rFonts w:hint="eastAsia"/>
          <w:b/>
          <w:bCs/>
          <w:lang w:eastAsia="zh-CN"/>
        </w:rPr>
        <w:t>。</w:t>
      </w:r>
      <w:r>
        <w:rPr>
          <w:rFonts w:hint="eastAsia"/>
          <w:lang w:eastAsia="zh-CN"/>
        </w:rPr>
        <w:t>跨河桥梁应设置可行的事故废水收集、截流、应急储存等措施。</w:t>
      </w:r>
      <w:r>
        <w:rPr>
          <w:rFonts w:hint="eastAsia"/>
          <w:highlight w:val="none"/>
          <w:lang w:val="en-US" w:eastAsia="zh-CN"/>
        </w:rPr>
        <w:t>文山洲特大桥路段应建设防撞护栏，避免事故车辆坠落，同时应建设路面径流系统。在</w:t>
      </w:r>
      <w:r>
        <w:rPr>
          <w:rFonts w:hint="eastAsia"/>
          <w:highlight w:val="none"/>
          <w:lang w:eastAsia="zh-CN"/>
        </w:rPr>
        <w:t>文山洲大桥</w:t>
      </w:r>
      <w:r>
        <w:rPr>
          <w:rFonts w:hint="eastAsia"/>
          <w:highlight w:val="none"/>
          <w:lang w:val="en-US" w:eastAsia="zh-CN"/>
        </w:rPr>
        <w:t>K0+000处和K1+950处</w:t>
      </w:r>
      <w:r>
        <w:rPr>
          <w:rFonts w:hint="eastAsia"/>
          <w:highlight w:val="none"/>
          <w:lang w:eastAsia="zh-CN"/>
        </w:rPr>
        <w:t>两侧应分别设置</w:t>
      </w:r>
      <w:r>
        <w:rPr>
          <w:rFonts w:hint="eastAsia"/>
          <w:highlight w:val="none"/>
          <w:lang w:val="en-US" w:eastAsia="zh-CN"/>
        </w:rPr>
        <w:t>1</w:t>
      </w:r>
      <w:r>
        <w:rPr>
          <w:rFonts w:hint="eastAsia"/>
          <w:highlight w:val="none"/>
          <w:lang w:eastAsia="zh-CN"/>
        </w:rPr>
        <w:t>个容积为</w:t>
      </w:r>
      <w:r>
        <w:rPr>
          <w:rFonts w:hint="eastAsia"/>
          <w:highlight w:val="none"/>
          <w:lang w:val="en-US" w:eastAsia="zh-CN"/>
        </w:rPr>
        <w:t>2300立方米和2630立方米的应急池。</w:t>
      </w:r>
      <w:r>
        <w:rPr>
          <w:rFonts w:hint="eastAsia"/>
          <w:lang w:eastAsia="zh-CN"/>
        </w:rPr>
        <w:t>加强危险化学品运输车辆事故环境风险管理，编制</w:t>
      </w:r>
      <w:r>
        <w:rPr>
          <w:rFonts w:hint="eastAsia"/>
          <w:lang w:val="en-US" w:eastAsia="zh-CN"/>
        </w:rPr>
        <w:t>突发环境事件应急预案，</w:t>
      </w:r>
      <w:r>
        <w:rPr>
          <w:rFonts w:hint="eastAsia"/>
          <w:lang w:eastAsia="zh-CN"/>
        </w:rPr>
        <w:t>定期开展事故环境风险应急演练，并与地方政府建立应急联动机制。</w:t>
      </w:r>
    </w:p>
    <w:p w14:paraId="2CDF2CB9">
      <w:pPr>
        <w:keepNext w:val="0"/>
        <w:keepLines w:val="0"/>
        <w:pageBreakBefore w:val="0"/>
        <w:widowControl w:val="0"/>
        <w:kinsoku/>
        <w:overflowPunct/>
        <w:topLinePunct w:val="0"/>
        <w:autoSpaceDE/>
        <w:autoSpaceDN/>
        <w:bidi w:val="0"/>
        <w:adjustRightInd/>
        <w:snapToGrid/>
        <w:spacing w:line="520" w:lineRule="exact"/>
        <w:ind w:right="0" w:rightChars="0"/>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三、污染物排放标准</w:t>
      </w:r>
    </w:p>
    <w:p w14:paraId="45726CBD">
      <w:pPr>
        <w:keepNext w:val="0"/>
        <w:keepLines w:val="0"/>
        <w:pageBreakBefore w:val="0"/>
        <w:widowControl w:val="0"/>
        <w:kinsoku/>
        <w:overflowPunct/>
        <w:topLinePunct w:val="0"/>
        <w:autoSpaceDE/>
        <w:autoSpaceDN/>
        <w:bidi w:val="0"/>
        <w:adjustRightInd/>
        <w:snapToGrid/>
        <w:spacing w:line="520" w:lineRule="exact"/>
        <w:ind w:right="0" w:rightChars="0"/>
        <w:textAlignment w:val="auto"/>
        <w:rPr>
          <w:rFonts w:hint="eastAsia"/>
          <w:lang w:val="en-US" w:eastAsia="zh-CN"/>
        </w:rPr>
      </w:pPr>
      <w:r>
        <w:rPr>
          <w:rFonts w:hint="eastAsia"/>
          <w:b/>
          <w:bCs/>
          <w:color w:val="auto"/>
          <w:lang w:val="en-US" w:eastAsia="zh-CN"/>
        </w:rPr>
        <w:t>（一）废水。</w:t>
      </w:r>
      <w:r>
        <w:rPr>
          <w:rFonts w:hint="eastAsia"/>
          <w:b w:val="0"/>
          <w:bCs w:val="0"/>
          <w:color w:val="auto"/>
          <w:lang w:val="en-US" w:eastAsia="zh-CN"/>
        </w:rPr>
        <w:t>南通服务区与阳下停车区、阳下收费站、南通收费站+养护工区和主线收费站的生活污水、生产废水经处理后，排入污水处理厂集中处理执行《污水综合排放标准》（GB8978-1996）表4三级标准限值。</w:t>
      </w:r>
    </w:p>
    <w:p w14:paraId="5712F6FF">
      <w:pPr>
        <w:keepNext w:val="0"/>
        <w:keepLines w:val="0"/>
        <w:pageBreakBefore w:val="0"/>
        <w:widowControl w:val="0"/>
        <w:kinsoku/>
        <w:overflowPunct/>
        <w:topLinePunct w:val="0"/>
        <w:autoSpaceDE/>
        <w:autoSpaceDN/>
        <w:bidi w:val="0"/>
        <w:adjustRightInd/>
        <w:snapToGrid/>
        <w:spacing w:line="520" w:lineRule="exact"/>
        <w:ind w:right="0" w:rightChars="0"/>
        <w:textAlignment w:val="auto"/>
        <w:rPr>
          <w:rFonts w:hint="eastAsia"/>
          <w:b w:val="0"/>
          <w:bCs w:val="0"/>
          <w:highlight w:val="none"/>
          <w:lang w:val="en-US" w:eastAsia="zh-CN"/>
        </w:rPr>
      </w:pPr>
      <w:r>
        <w:rPr>
          <w:rFonts w:hint="eastAsia"/>
          <w:b/>
          <w:bCs/>
          <w:highlight w:val="none"/>
          <w:lang w:val="en-US" w:eastAsia="zh-CN"/>
        </w:rPr>
        <w:t>（二）废气。</w:t>
      </w:r>
      <w:r>
        <w:rPr>
          <w:rFonts w:hint="eastAsia"/>
          <w:b w:val="0"/>
          <w:bCs w:val="0"/>
          <w:color w:val="000000" w:themeColor="text1"/>
          <w:highlight w:val="none"/>
          <w:lang w:val="en-US" w:eastAsia="zh-CN"/>
          <w14:textFill>
            <w14:solidFill>
              <w14:schemeClr w14:val="tx1"/>
            </w14:solidFill>
          </w14:textFill>
        </w:rPr>
        <w:t>施工期扬尘、沥青烟气执行《大气污</w:t>
      </w:r>
      <w:r>
        <w:rPr>
          <w:rFonts w:hint="eastAsia"/>
          <w:b w:val="0"/>
          <w:bCs w:val="0"/>
          <w:highlight w:val="none"/>
          <w:lang w:val="en-US" w:eastAsia="zh-CN"/>
        </w:rPr>
        <w:t>染物综合排放标准》(GB16297-1996)表2中二级排放标准及相应的无组织排放监控浓度限值。</w:t>
      </w:r>
    </w:p>
    <w:p w14:paraId="4AD9B2FB">
      <w:pPr>
        <w:keepNext w:val="0"/>
        <w:keepLines w:val="0"/>
        <w:pageBreakBefore w:val="0"/>
        <w:widowControl w:val="0"/>
        <w:kinsoku/>
        <w:overflowPunct/>
        <w:topLinePunct w:val="0"/>
        <w:autoSpaceDE/>
        <w:autoSpaceDN/>
        <w:bidi w:val="0"/>
        <w:adjustRightInd/>
        <w:snapToGrid/>
        <w:spacing w:line="520" w:lineRule="exact"/>
        <w:ind w:right="0" w:rightChars="0"/>
        <w:textAlignment w:val="auto"/>
        <w:rPr>
          <w:rFonts w:hint="eastAsia"/>
          <w:highlight w:val="none"/>
          <w:lang w:val="en-US" w:eastAsia="zh-CN"/>
        </w:rPr>
      </w:pPr>
      <w:r>
        <w:rPr>
          <w:rFonts w:hint="eastAsia"/>
          <w:b/>
          <w:bCs/>
          <w:highlight w:val="none"/>
          <w:lang w:val="en-US" w:eastAsia="zh-CN"/>
        </w:rPr>
        <w:t>（三）噪声。</w:t>
      </w:r>
      <w:r>
        <w:rPr>
          <w:rFonts w:hint="eastAsia"/>
          <w:highlight w:val="none"/>
          <w:lang w:val="en-US" w:eastAsia="zh-CN"/>
        </w:rPr>
        <w:t>施工期场界噪声排放执行《建筑施工场界环境噪声排放标准》（GB12523-2011）排放限值。</w:t>
      </w:r>
    </w:p>
    <w:p w14:paraId="7C5FFC7E">
      <w:pPr>
        <w:pStyle w:val="11"/>
        <w:keepNext w:val="0"/>
        <w:keepLines w:val="0"/>
        <w:pageBreakBefore w:val="0"/>
        <w:widowControl w:val="0"/>
        <w:kinsoku/>
        <w:wordWrap/>
        <w:overflowPunct/>
        <w:topLinePunct w:val="0"/>
        <w:autoSpaceDE/>
        <w:autoSpaceDN/>
        <w:bidi w:val="0"/>
        <w:adjustRightInd/>
        <w:snapToGrid/>
        <w:spacing w:before="0" w:after="0" w:line="520" w:lineRule="exact"/>
        <w:ind w:right="0" w:rightChars="0"/>
        <w:jc w:val="both"/>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bCs/>
          <w:highlight w:val="none"/>
          <w:lang w:val="en-US" w:eastAsia="zh-CN"/>
        </w:rPr>
        <w:t>（</w:t>
      </w:r>
      <w:r>
        <w:rPr>
          <w:rFonts w:hint="eastAsia" w:ascii="仿宋_GB2312" w:hAnsi="仿宋_GB2312" w:cs="仿宋_GB2312"/>
          <w:b/>
          <w:bCs/>
          <w:highlight w:val="none"/>
          <w:lang w:val="en-US" w:eastAsia="zh-CN"/>
        </w:rPr>
        <w:t>四</w:t>
      </w:r>
      <w:r>
        <w:rPr>
          <w:rFonts w:hint="eastAsia" w:ascii="仿宋_GB2312" w:hAnsi="仿宋_GB2312" w:eastAsia="仿宋_GB2312" w:cs="仿宋_GB2312"/>
          <w:b/>
          <w:bCs/>
          <w:highlight w:val="none"/>
          <w:lang w:val="en-US" w:eastAsia="zh-CN"/>
        </w:rPr>
        <w:t>）</w:t>
      </w:r>
      <w:r>
        <w:rPr>
          <w:rFonts w:hint="eastAsia" w:ascii="仿宋_GB2312" w:hAnsi="仿宋_GB2312" w:cs="仿宋_GB2312"/>
          <w:b/>
          <w:bCs/>
          <w:highlight w:val="none"/>
          <w:lang w:val="en-US" w:eastAsia="zh-CN"/>
        </w:rPr>
        <w:t>固废</w:t>
      </w:r>
      <w:r>
        <w:rPr>
          <w:rFonts w:hint="eastAsia" w:ascii="仿宋_GB2312" w:hAnsi="仿宋_GB2312" w:eastAsia="仿宋_GB2312" w:cs="仿宋_GB2312"/>
          <w:b/>
          <w:bCs/>
          <w:highlight w:val="none"/>
          <w:lang w:val="en-US" w:eastAsia="zh-CN"/>
        </w:rPr>
        <w:t>。</w:t>
      </w:r>
      <w:r>
        <w:rPr>
          <w:rFonts w:hint="eastAsia" w:ascii="仿宋_GB2312" w:hAnsi="仿宋_GB2312" w:eastAsia="仿宋_GB2312" w:cs="仿宋_GB2312"/>
          <w:b w:val="0"/>
          <w:bCs w:val="0"/>
          <w:highlight w:val="none"/>
          <w:lang w:val="en-US" w:eastAsia="zh-CN"/>
        </w:rPr>
        <w:t>一般工业固体废物贮存执行《一般工业固体废物贮存和填埋污染控制标准》（GB18599-2020）要求；危险废物贮存执行《危险废物贮存污染控制标准》（GB18597-2023）要求，转移管理执行《危险废物转移管理办法》（部令第23号）相关规定。</w:t>
      </w:r>
    </w:p>
    <w:p w14:paraId="7154B190">
      <w:pPr>
        <w:keepNext w:val="0"/>
        <w:keepLines w:val="0"/>
        <w:pageBreakBefore w:val="0"/>
        <w:widowControl w:val="0"/>
        <w:kinsoku/>
        <w:overflowPunct/>
        <w:topLinePunct w:val="0"/>
        <w:autoSpaceDE/>
        <w:autoSpaceDN/>
        <w:bidi w:val="0"/>
        <w:adjustRightInd/>
        <w:snapToGrid/>
        <w:spacing w:line="520" w:lineRule="exact"/>
        <w:ind w:right="0" w:rightChars="0"/>
        <w:textAlignment w:val="auto"/>
        <w:rPr>
          <w:rFonts w:hint="eastAsia"/>
          <w:lang w:val="en-US" w:eastAsia="zh-CN"/>
        </w:rPr>
      </w:pPr>
      <w:r>
        <w:rPr>
          <w:rFonts w:hint="eastAsia"/>
          <w:lang w:val="en-US" w:eastAsia="zh-CN"/>
        </w:rPr>
        <w:t>四、《报告书》批准后，</w:t>
      </w:r>
      <w:r>
        <w:rPr>
          <w:rFonts w:hint="eastAsia"/>
          <w:lang w:eastAsia="zh-CN"/>
        </w:rPr>
        <w:t>如建设项目的性质、规模、地点、采用的生产工艺或者防治污染、防止生态破坏的措施发生重大变动的，应当依法重新报批项目环评。《报告</w:t>
      </w:r>
      <w:r>
        <w:rPr>
          <w:rFonts w:hint="eastAsia"/>
          <w:lang w:val="en-US" w:eastAsia="zh-CN"/>
        </w:rPr>
        <w:t>书</w:t>
      </w:r>
      <w:r>
        <w:rPr>
          <w:rFonts w:hint="eastAsia"/>
          <w:lang w:eastAsia="zh-CN"/>
        </w:rPr>
        <w:t>》自批准之日起满5年，方开工建设的，项目环评应当依法报我局重新审核。</w:t>
      </w:r>
    </w:p>
    <w:p w14:paraId="36291E2A">
      <w:pPr>
        <w:keepNext w:val="0"/>
        <w:keepLines w:val="0"/>
        <w:pageBreakBefore w:val="0"/>
        <w:widowControl w:val="0"/>
        <w:kinsoku/>
        <w:overflowPunct/>
        <w:topLinePunct w:val="0"/>
        <w:autoSpaceDE/>
        <w:autoSpaceDN/>
        <w:bidi w:val="0"/>
        <w:adjustRightInd/>
        <w:snapToGrid/>
        <w:spacing w:line="520" w:lineRule="exact"/>
        <w:ind w:right="0" w:rightChars="0"/>
        <w:textAlignment w:val="auto"/>
        <w:rPr>
          <w:rFonts w:hint="eastAsia"/>
          <w:lang w:val="en-US" w:eastAsia="zh-CN"/>
        </w:rPr>
      </w:pPr>
      <w:r>
        <w:rPr>
          <w:rFonts w:hint="eastAsia"/>
          <w:lang w:val="en-US" w:eastAsia="zh-CN"/>
        </w:rPr>
        <w:t>五、</w:t>
      </w:r>
      <w:r>
        <w:rPr>
          <w:rFonts w:hint="eastAsia"/>
          <w:lang w:eastAsia="zh-CN"/>
        </w:rPr>
        <w:t>项目应加强环境管理，推进落实各项生态环境保护措施。</w:t>
      </w:r>
      <w:r>
        <w:rPr>
          <w:rFonts w:hint="eastAsia"/>
        </w:rPr>
        <w:t>严格执行</w:t>
      </w:r>
      <w:r>
        <w:rPr>
          <w:rFonts w:hint="eastAsia"/>
          <w:lang w:eastAsia="zh-CN"/>
        </w:rPr>
        <w:t>环境保护</w:t>
      </w:r>
      <w:r>
        <w:rPr>
          <w:rFonts w:hint="eastAsia"/>
        </w:rPr>
        <w:t>“三同时”制度</w:t>
      </w:r>
      <w:r>
        <w:rPr>
          <w:rFonts w:hint="eastAsia"/>
          <w:lang w:eastAsia="zh-CN"/>
        </w:rPr>
        <w:t>，加强施工期环境管理。</w:t>
      </w:r>
      <w:r>
        <w:rPr>
          <w:rFonts w:hint="eastAsia"/>
        </w:rPr>
        <w:t>竣工</w:t>
      </w:r>
      <w:r>
        <w:rPr>
          <w:rFonts w:hint="eastAsia"/>
          <w:lang w:eastAsia="zh-CN"/>
        </w:rPr>
        <w:t>后应按规定程序实施</w:t>
      </w:r>
      <w:r>
        <w:rPr>
          <w:rFonts w:hint="eastAsia"/>
        </w:rPr>
        <w:t>竣工环境保护验收。</w:t>
      </w:r>
    </w:p>
    <w:p w14:paraId="5BAC247B">
      <w:pPr>
        <w:keepNext w:val="0"/>
        <w:keepLines w:val="0"/>
        <w:pageBreakBefore w:val="0"/>
        <w:widowControl w:val="0"/>
        <w:kinsoku/>
        <w:overflowPunct/>
        <w:topLinePunct w:val="0"/>
        <w:autoSpaceDE/>
        <w:autoSpaceDN/>
        <w:bidi w:val="0"/>
        <w:adjustRightInd/>
        <w:snapToGrid/>
        <w:spacing w:line="520" w:lineRule="exact"/>
        <w:ind w:right="0" w:rightChars="0"/>
        <w:textAlignment w:val="auto"/>
        <w:rPr>
          <w:rFonts w:hint="eastAsia"/>
          <w:highlight w:val="none"/>
        </w:rPr>
      </w:pPr>
      <w:r>
        <w:rPr>
          <w:rFonts w:hint="eastAsia"/>
          <w:lang w:val="en-US" w:eastAsia="zh-CN"/>
        </w:rPr>
        <w:t>六、我局委托福州市生态环境保护综合执法支队开展该项目环保“三同时”监督检查，由</w:t>
      </w:r>
      <w:r>
        <w:rPr>
          <w:rFonts w:hint="eastAsia"/>
          <w:highlight w:val="none"/>
          <w:lang w:val="en-US" w:eastAsia="zh-CN"/>
        </w:rPr>
        <w:t>福州市仓山生态环境局、福州市闽侯生态环境局和福州市福清生态环境局</w:t>
      </w:r>
      <w:r>
        <w:rPr>
          <w:rFonts w:hint="eastAsia"/>
          <w:lang w:val="en-US" w:eastAsia="zh-CN"/>
        </w:rPr>
        <w:t>负责该项目日常环保监督管理工作。</w:t>
      </w:r>
    </w:p>
    <w:p w14:paraId="12442B28">
      <w:pPr>
        <w:keepNext w:val="0"/>
        <w:keepLines w:val="0"/>
        <w:pageBreakBefore w:val="0"/>
        <w:widowControl w:val="0"/>
        <w:kinsoku/>
        <w:wordWrap w:val="0"/>
        <w:overflowPunct/>
        <w:topLinePunct w:val="0"/>
        <w:autoSpaceDE/>
        <w:autoSpaceDN/>
        <w:bidi w:val="0"/>
        <w:adjustRightInd/>
        <w:snapToGrid/>
        <w:spacing w:line="520" w:lineRule="exact"/>
        <w:ind w:right="0" w:rightChars="0"/>
        <w:jc w:val="right"/>
        <w:textAlignment w:val="auto"/>
        <w:rPr>
          <w:rFonts w:hint="eastAsia"/>
          <w:highlight w:val="none"/>
        </w:rPr>
      </w:pPr>
      <w:bookmarkStart w:id="0" w:name="_GoBack"/>
      <w:bookmarkEnd w:id="0"/>
    </w:p>
    <w:p w14:paraId="6071B39C">
      <w:pPr>
        <w:keepNext w:val="0"/>
        <w:keepLines w:val="0"/>
        <w:pageBreakBefore w:val="0"/>
        <w:widowControl w:val="0"/>
        <w:kinsoku/>
        <w:wordWrap w:val="0"/>
        <w:overflowPunct/>
        <w:topLinePunct w:val="0"/>
        <w:autoSpaceDE/>
        <w:autoSpaceDN/>
        <w:bidi w:val="0"/>
        <w:adjustRightInd/>
        <w:snapToGrid/>
        <w:spacing w:line="520" w:lineRule="exact"/>
        <w:ind w:right="0" w:rightChars="0"/>
        <w:jc w:val="right"/>
        <w:textAlignment w:val="auto"/>
        <w:rPr>
          <w:rFonts w:hint="eastAsia"/>
          <w:highlight w:val="none"/>
        </w:rPr>
      </w:pPr>
    </w:p>
    <w:p w14:paraId="39C668A8">
      <w:pPr>
        <w:keepNext w:val="0"/>
        <w:keepLines w:val="0"/>
        <w:pageBreakBefore w:val="0"/>
        <w:widowControl w:val="0"/>
        <w:kinsoku/>
        <w:wordWrap w:val="0"/>
        <w:overflowPunct/>
        <w:topLinePunct w:val="0"/>
        <w:autoSpaceDE/>
        <w:autoSpaceDN/>
        <w:bidi w:val="0"/>
        <w:adjustRightInd/>
        <w:snapToGrid/>
        <w:spacing w:line="520" w:lineRule="exact"/>
        <w:ind w:right="0" w:rightChars="0"/>
        <w:jc w:val="right"/>
        <w:textAlignment w:val="auto"/>
        <w:rPr>
          <w:rFonts w:hint="eastAsia"/>
          <w:highlight w:val="none"/>
        </w:rPr>
      </w:pPr>
    </w:p>
    <w:p w14:paraId="38A42028">
      <w:pPr>
        <w:keepNext w:val="0"/>
        <w:keepLines w:val="0"/>
        <w:pageBreakBefore w:val="0"/>
        <w:widowControl w:val="0"/>
        <w:kinsoku/>
        <w:wordWrap w:val="0"/>
        <w:overflowPunct/>
        <w:topLinePunct w:val="0"/>
        <w:autoSpaceDE/>
        <w:autoSpaceDN/>
        <w:bidi w:val="0"/>
        <w:adjustRightInd/>
        <w:snapToGrid/>
        <w:spacing w:line="520" w:lineRule="exact"/>
        <w:ind w:right="0" w:rightChars="0"/>
        <w:jc w:val="right"/>
        <w:textAlignment w:val="auto"/>
        <w:rPr>
          <w:rFonts w:hint="eastAsia"/>
          <w:highlight w:val="none"/>
          <w:lang w:val="en-US" w:eastAsia="zh-CN"/>
        </w:rPr>
      </w:pPr>
      <w:r>
        <w:rPr>
          <w:rFonts w:hint="eastAsia"/>
          <w:highlight w:val="none"/>
        </w:rPr>
        <w:t>福州市</w:t>
      </w:r>
      <w:r>
        <w:rPr>
          <w:rFonts w:hint="eastAsia"/>
          <w:highlight w:val="none"/>
          <w:lang w:eastAsia="zh-CN"/>
        </w:rPr>
        <w:t>生态环境局</w:t>
      </w:r>
      <w:r>
        <w:rPr>
          <w:rFonts w:hint="eastAsia"/>
          <w:highlight w:val="none"/>
          <w:lang w:val="en-US" w:eastAsia="zh-CN"/>
        </w:rPr>
        <w:t xml:space="preserve">        </w:t>
      </w:r>
    </w:p>
    <w:p w14:paraId="085E8767">
      <w:pPr>
        <w:keepNext w:val="0"/>
        <w:keepLines w:val="0"/>
        <w:pageBreakBefore w:val="0"/>
        <w:widowControl w:val="0"/>
        <w:kinsoku/>
        <w:wordWrap w:val="0"/>
        <w:overflowPunct/>
        <w:topLinePunct w:val="0"/>
        <w:autoSpaceDE/>
        <w:autoSpaceDN/>
        <w:bidi w:val="0"/>
        <w:adjustRightInd/>
        <w:snapToGrid/>
        <w:spacing w:line="520" w:lineRule="exact"/>
        <w:ind w:right="0" w:rightChars="0"/>
        <w:jc w:val="right"/>
        <w:textAlignment w:val="auto"/>
        <w:rPr>
          <w:rFonts w:hint="eastAsia"/>
          <w:highlight w:val="none"/>
          <w:lang w:val="en-US" w:eastAsia="zh-CN"/>
        </w:rPr>
      </w:pPr>
      <w:r>
        <w:rPr>
          <w:rFonts w:hint="eastAsia"/>
          <w:highlight w:val="none"/>
        </w:rPr>
        <w:t>20</w:t>
      </w:r>
      <w:r>
        <w:rPr>
          <w:rFonts w:hint="eastAsia"/>
          <w:highlight w:val="none"/>
          <w:lang w:val="en-US" w:eastAsia="zh-CN"/>
        </w:rPr>
        <w:t>25</w:t>
      </w:r>
      <w:r>
        <w:rPr>
          <w:rFonts w:hint="eastAsia"/>
          <w:highlight w:val="none"/>
        </w:rPr>
        <w:t>年</w:t>
      </w:r>
      <w:r>
        <w:rPr>
          <w:rFonts w:hint="eastAsia"/>
          <w:highlight w:val="none"/>
          <w:lang w:val="en-US" w:eastAsia="zh-CN"/>
        </w:rPr>
        <w:t>6</w:t>
      </w:r>
      <w:r>
        <w:rPr>
          <w:rFonts w:hint="eastAsia"/>
          <w:highlight w:val="none"/>
        </w:rPr>
        <w:t>月</w:t>
      </w:r>
      <w:r>
        <w:rPr>
          <w:rFonts w:hint="eastAsia"/>
          <w:highlight w:val="none"/>
          <w:lang w:val="en-US" w:eastAsia="zh-CN"/>
        </w:rPr>
        <w:t>24</w:t>
      </w:r>
      <w:r>
        <w:rPr>
          <w:rFonts w:hint="eastAsia"/>
          <w:highlight w:val="none"/>
        </w:rPr>
        <w:t>日</w:t>
      </w:r>
      <w:r>
        <w:rPr>
          <w:rFonts w:hint="eastAsia"/>
          <w:highlight w:val="none"/>
          <w:lang w:val="en-US" w:eastAsia="zh-CN"/>
        </w:rPr>
        <w:t xml:space="preserve">        </w:t>
      </w:r>
    </w:p>
    <w:tbl>
      <w:tblPr>
        <w:tblStyle w:val="13"/>
        <w:tblpPr w:horzAnchor="margin" w:tblpX="1" w:tblpYSpec="bottom"/>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316"/>
        <w:gridCol w:w="3274"/>
        <w:gridCol w:w="4589"/>
      </w:tblGrid>
      <w:tr w14:paraId="23F3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717" w:type="pct"/>
            <w:tcBorders>
              <w:left w:val="nil"/>
              <w:right w:val="nil"/>
            </w:tcBorders>
            <w:noWrap w:val="0"/>
            <w:vAlign w:val="top"/>
          </w:tcPr>
          <w:p w14:paraId="58661F79">
            <w:pPr>
              <w:pStyle w:val="19"/>
              <w:keepNext w:val="0"/>
              <w:keepLines w:val="0"/>
              <w:pageBreakBefore w:val="0"/>
              <w:widowControl w:val="0"/>
              <w:kinsoku/>
              <w:overflowPunct/>
              <w:topLinePunct w:val="0"/>
              <w:autoSpaceDE/>
              <w:autoSpaceDN/>
              <w:bidi w:val="0"/>
              <w:adjustRightInd/>
              <w:snapToGrid/>
              <w:spacing w:line="560" w:lineRule="atLeast"/>
              <w:ind w:firstLine="280" w:firstLineChars="100"/>
              <w:jc w:val="left"/>
              <w:textAlignment w:val="auto"/>
              <w:rPr>
                <w:rFonts w:hint="eastAsia"/>
                <w:sz w:val="28"/>
                <w:szCs w:val="28"/>
                <w:highlight w:val="none"/>
                <w:lang w:val="en-US" w:eastAsia="zh-CN"/>
              </w:rPr>
            </w:pPr>
            <w:r>
              <w:rPr>
                <w:rFonts w:hint="eastAsia"/>
                <w:sz w:val="28"/>
                <w:szCs w:val="28"/>
                <w:highlight w:val="none"/>
              </w:rPr>
              <w:t>抄送：</w:t>
            </w:r>
          </w:p>
        </w:tc>
        <w:tc>
          <w:tcPr>
            <w:tcW w:w="4282" w:type="pct"/>
            <w:gridSpan w:val="2"/>
            <w:tcBorders>
              <w:left w:val="nil"/>
              <w:right w:val="nil"/>
            </w:tcBorders>
            <w:noWrap w:val="0"/>
            <w:vAlign w:val="top"/>
          </w:tcPr>
          <w:p w14:paraId="05A16374">
            <w:pPr>
              <w:pStyle w:val="19"/>
              <w:keepNext w:val="0"/>
              <w:keepLines w:val="0"/>
              <w:pageBreakBefore w:val="0"/>
              <w:widowControl w:val="0"/>
              <w:kinsoku/>
              <w:overflowPunct/>
              <w:topLinePunct w:val="0"/>
              <w:autoSpaceDE/>
              <w:autoSpaceDN/>
              <w:bidi w:val="0"/>
              <w:adjustRightInd/>
              <w:snapToGrid/>
              <w:spacing w:line="560" w:lineRule="atLeast"/>
              <w:textAlignment w:val="auto"/>
              <w:rPr>
                <w:rFonts w:hint="eastAsia"/>
                <w:sz w:val="28"/>
                <w:szCs w:val="28"/>
                <w:highlight w:val="none"/>
                <w:lang w:val="en-US" w:eastAsia="zh-CN"/>
              </w:rPr>
            </w:pPr>
            <w:r>
              <w:rPr>
                <w:rFonts w:hint="eastAsia"/>
                <w:sz w:val="28"/>
                <w:szCs w:val="28"/>
                <w:highlight w:val="none"/>
                <w:lang w:eastAsia="zh-CN"/>
              </w:rPr>
              <w:t>局水处、生态处，</w:t>
            </w:r>
            <w:r>
              <w:rPr>
                <w:rFonts w:hint="eastAsia"/>
                <w:sz w:val="28"/>
                <w:szCs w:val="28"/>
                <w:highlight w:val="none"/>
              </w:rPr>
              <w:t>福州市生态环境保护综合执法支队，福州市环境影响评价技术中心，福州市</w:t>
            </w:r>
            <w:r>
              <w:rPr>
                <w:rFonts w:hint="eastAsia"/>
                <w:sz w:val="28"/>
                <w:szCs w:val="28"/>
                <w:highlight w:val="none"/>
                <w:lang w:eastAsia="zh-CN"/>
              </w:rPr>
              <w:t>仓山</w:t>
            </w:r>
            <w:r>
              <w:rPr>
                <w:rFonts w:hint="eastAsia"/>
                <w:sz w:val="28"/>
                <w:szCs w:val="28"/>
                <w:highlight w:val="none"/>
              </w:rPr>
              <w:t>生态环境局</w:t>
            </w:r>
            <w:r>
              <w:rPr>
                <w:rFonts w:hint="eastAsia"/>
                <w:sz w:val="28"/>
                <w:szCs w:val="28"/>
                <w:highlight w:val="none"/>
                <w:lang w:eastAsia="zh-CN"/>
              </w:rPr>
              <w:t>，</w:t>
            </w:r>
            <w:r>
              <w:rPr>
                <w:rFonts w:hint="eastAsia"/>
                <w:sz w:val="28"/>
                <w:szCs w:val="28"/>
                <w:highlight w:val="none"/>
              </w:rPr>
              <w:t>福州市</w:t>
            </w:r>
            <w:r>
              <w:rPr>
                <w:rFonts w:hint="eastAsia"/>
                <w:sz w:val="28"/>
                <w:szCs w:val="28"/>
                <w:highlight w:val="none"/>
                <w:lang w:eastAsia="zh-CN"/>
              </w:rPr>
              <w:t>闽侯</w:t>
            </w:r>
            <w:r>
              <w:rPr>
                <w:rFonts w:hint="eastAsia"/>
                <w:sz w:val="28"/>
                <w:szCs w:val="28"/>
                <w:highlight w:val="none"/>
              </w:rPr>
              <w:t>生态环境局</w:t>
            </w:r>
            <w:r>
              <w:rPr>
                <w:rFonts w:hint="eastAsia"/>
                <w:sz w:val="28"/>
                <w:szCs w:val="28"/>
                <w:highlight w:val="none"/>
                <w:lang w:eastAsia="zh-CN"/>
              </w:rPr>
              <w:t>，</w:t>
            </w:r>
            <w:r>
              <w:rPr>
                <w:rFonts w:hint="eastAsia"/>
                <w:sz w:val="28"/>
                <w:szCs w:val="28"/>
                <w:highlight w:val="none"/>
              </w:rPr>
              <w:t>福州市</w:t>
            </w:r>
            <w:r>
              <w:rPr>
                <w:rFonts w:hint="eastAsia"/>
                <w:sz w:val="28"/>
                <w:szCs w:val="28"/>
                <w:highlight w:val="none"/>
                <w:lang w:eastAsia="zh-CN"/>
              </w:rPr>
              <w:t>福清</w:t>
            </w:r>
            <w:r>
              <w:rPr>
                <w:rFonts w:hint="eastAsia"/>
                <w:sz w:val="28"/>
                <w:szCs w:val="28"/>
                <w:highlight w:val="none"/>
              </w:rPr>
              <w:t>生态环境局</w:t>
            </w:r>
            <w:r>
              <w:rPr>
                <w:rFonts w:hint="eastAsia"/>
                <w:sz w:val="28"/>
                <w:szCs w:val="28"/>
                <w:highlight w:val="none"/>
                <w:lang w:eastAsia="zh-CN"/>
              </w:rPr>
              <w:t>，福建省环境保护设计院有限公司。</w:t>
            </w:r>
          </w:p>
        </w:tc>
      </w:tr>
      <w:tr w14:paraId="731C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500" w:type="pct"/>
            <w:gridSpan w:val="2"/>
            <w:tcBorders>
              <w:left w:val="nil"/>
              <w:right w:val="nil"/>
            </w:tcBorders>
            <w:noWrap w:val="0"/>
            <w:vAlign w:val="top"/>
          </w:tcPr>
          <w:p w14:paraId="79EC4DC6">
            <w:pPr>
              <w:pStyle w:val="19"/>
              <w:keepNext w:val="0"/>
              <w:keepLines w:val="0"/>
              <w:pageBreakBefore w:val="0"/>
              <w:widowControl w:val="0"/>
              <w:kinsoku/>
              <w:overflowPunct/>
              <w:topLinePunct w:val="0"/>
              <w:autoSpaceDE/>
              <w:autoSpaceDN/>
              <w:bidi w:val="0"/>
              <w:adjustRightInd/>
              <w:snapToGrid/>
              <w:spacing w:line="560" w:lineRule="atLeast"/>
              <w:ind w:firstLine="280" w:firstLineChars="100"/>
              <w:textAlignment w:val="auto"/>
              <w:rPr>
                <w:rFonts w:hint="eastAsia"/>
                <w:sz w:val="28"/>
                <w:szCs w:val="28"/>
                <w:highlight w:val="none"/>
                <w:lang w:val="en-US" w:eastAsia="zh-CN"/>
              </w:rPr>
            </w:pPr>
            <w:r>
              <w:rPr>
                <w:rFonts w:hint="eastAsia"/>
                <w:sz w:val="28"/>
                <w:szCs w:val="28"/>
                <w:highlight w:val="none"/>
              </w:rPr>
              <w:t>福州市</w:t>
            </w:r>
            <w:r>
              <w:rPr>
                <w:rFonts w:hint="eastAsia"/>
                <w:sz w:val="28"/>
                <w:szCs w:val="28"/>
                <w:highlight w:val="none"/>
                <w:lang w:eastAsia="zh-CN"/>
              </w:rPr>
              <w:t>生态环境</w:t>
            </w:r>
            <w:r>
              <w:rPr>
                <w:rFonts w:hint="eastAsia"/>
                <w:sz w:val="28"/>
                <w:szCs w:val="28"/>
                <w:highlight w:val="none"/>
              </w:rPr>
              <w:t>局</w:t>
            </w:r>
          </w:p>
        </w:tc>
        <w:tc>
          <w:tcPr>
            <w:tcW w:w="2499" w:type="pct"/>
            <w:tcBorders>
              <w:left w:val="nil"/>
              <w:right w:val="nil"/>
            </w:tcBorders>
            <w:noWrap w:val="0"/>
            <w:vAlign w:val="top"/>
          </w:tcPr>
          <w:p w14:paraId="3D2BF521">
            <w:pPr>
              <w:pStyle w:val="19"/>
              <w:keepNext w:val="0"/>
              <w:keepLines w:val="0"/>
              <w:pageBreakBefore w:val="0"/>
              <w:widowControl w:val="0"/>
              <w:kinsoku/>
              <w:overflowPunct/>
              <w:topLinePunct w:val="0"/>
              <w:autoSpaceDE/>
              <w:autoSpaceDN/>
              <w:bidi w:val="0"/>
              <w:adjustRightInd/>
              <w:snapToGrid/>
              <w:spacing w:line="560" w:lineRule="atLeast"/>
              <w:jc w:val="right"/>
              <w:textAlignment w:val="auto"/>
              <w:rPr>
                <w:rFonts w:hint="eastAsia" w:eastAsia="仿宋_GB2312"/>
                <w:sz w:val="28"/>
                <w:szCs w:val="28"/>
                <w:highlight w:val="none"/>
                <w:lang w:val="en-US" w:eastAsia="zh-CN"/>
              </w:rPr>
            </w:pPr>
            <w:r>
              <w:rPr>
                <w:rFonts w:hint="eastAsia"/>
                <w:sz w:val="28"/>
                <w:szCs w:val="28"/>
                <w:highlight w:val="none"/>
              </w:rPr>
              <w:t>202</w:t>
            </w:r>
            <w:r>
              <w:rPr>
                <w:rFonts w:hint="eastAsia"/>
                <w:sz w:val="28"/>
                <w:szCs w:val="28"/>
                <w:highlight w:val="none"/>
                <w:lang w:val="en-US" w:eastAsia="zh-CN"/>
              </w:rPr>
              <w:t>5</w:t>
            </w:r>
            <w:r>
              <w:rPr>
                <w:rFonts w:hint="eastAsia"/>
                <w:sz w:val="28"/>
                <w:szCs w:val="28"/>
                <w:highlight w:val="none"/>
              </w:rPr>
              <w:t>年</w:t>
            </w:r>
            <w:r>
              <w:rPr>
                <w:rFonts w:hint="eastAsia"/>
                <w:sz w:val="28"/>
                <w:szCs w:val="28"/>
                <w:highlight w:val="none"/>
                <w:lang w:val="en-US" w:eastAsia="zh-CN"/>
              </w:rPr>
              <w:t>6</w:t>
            </w:r>
            <w:r>
              <w:rPr>
                <w:rFonts w:hint="eastAsia"/>
                <w:sz w:val="28"/>
                <w:szCs w:val="28"/>
                <w:highlight w:val="none"/>
              </w:rPr>
              <w:t>月</w:t>
            </w:r>
            <w:r>
              <w:rPr>
                <w:rFonts w:hint="eastAsia"/>
                <w:sz w:val="28"/>
                <w:szCs w:val="28"/>
                <w:highlight w:val="none"/>
                <w:lang w:val="en-US" w:eastAsia="zh-CN"/>
              </w:rPr>
              <w:t>24</w:t>
            </w:r>
            <w:r>
              <w:rPr>
                <w:rFonts w:hint="eastAsia"/>
                <w:sz w:val="28"/>
                <w:szCs w:val="28"/>
                <w:highlight w:val="none"/>
              </w:rPr>
              <w:t>日印发</w:t>
            </w:r>
            <w:r>
              <w:rPr>
                <w:rFonts w:hint="eastAsia"/>
                <w:sz w:val="28"/>
                <w:szCs w:val="28"/>
                <w:highlight w:val="none"/>
                <w:lang w:val="en-US" w:eastAsia="zh-CN"/>
              </w:rPr>
              <w:t xml:space="preserve">  </w:t>
            </w:r>
          </w:p>
        </w:tc>
      </w:tr>
    </w:tbl>
    <w:p w14:paraId="24D4253E">
      <w:pPr>
        <w:keepNext w:val="0"/>
        <w:keepLines w:val="0"/>
        <w:pageBreakBefore w:val="0"/>
        <w:widowControl w:val="0"/>
        <w:kinsoku/>
        <w:wordWrap/>
        <w:overflowPunct/>
        <w:topLinePunct w:val="0"/>
        <w:autoSpaceDE/>
        <w:autoSpaceDN/>
        <w:bidi w:val="0"/>
        <w:adjustRightInd/>
        <w:snapToGrid w:val="0"/>
        <w:spacing w:line="520" w:lineRule="atLeast"/>
        <w:ind w:right="0" w:rightChars="0" w:firstLine="0" w:firstLineChars="0"/>
        <w:jc w:val="both"/>
        <w:textAlignment w:val="auto"/>
        <w:rPr>
          <w:rFonts w:hint="default"/>
          <w:color w:val="000000" w:themeColor="text1"/>
          <w:highlight w:val="none"/>
          <w:lang w:val="en-US" w:eastAsia="zh-CN"/>
          <w14:textFill>
            <w14:solidFill>
              <w14:schemeClr w14:val="tx1"/>
            </w14:solidFill>
          </w14:textFill>
        </w:rPr>
      </w:pPr>
    </w:p>
    <w:sectPr>
      <w:footerReference r:id="rId5" w:type="default"/>
      <w:footerReference r:id="rId6" w:type="even"/>
      <w:pgSz w:w="11906" w:h="16838"/>
      <w:pgMar w:top="1417" w:right="1417" w:bottom="1417" w:left="1417" w:header="851" w:footer="850"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D034F">
    <w:pPr>
      <w:tabs>
        <w:tab w:val="center" w:pos="4153"/>
        <w:tab w:val="right" w:pos="8306"/>
      </w:tabs>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3E9A00">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3E9A00">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76332">
    <w:pPr>
      <w:framePr w:wrap="around" w:vAnchor="text" w:hAnchor="margin" w:xAlign="center" w:y="1"/>
      <w:tabs>
        <w:tab w:val="center" w:pos="4153"/>
        <w:tab w:val="right" w:pos="8306"/>
      </w:tabs>
    </w:pPr>
    <w:r>
      <w:fldChar w:fldCharType="begin"/>
    </w:r>
    <w:r>
      <w:instrText xml:space="preserve">PAGE  </w:instrText>
    </w:r>
    <w:r>
      <w:fldChar w:fldCharType="end"/>
    </w:r>
  </w:p>
  <w:p w14:paraId="15914E8D">
    <w:pPr>
      <w:tabs>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132AC9"/>
    <w:multiLevelType w:val="multilevel"/>
    <w:tmpl w:val="41132AC9"/>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b/>
      </w:rPr>
    </w:lvl>
    <w:lvl w:ilvl="2" w:tentative="0">
      <w:start w:val="1"/>
      <w:numFmt w:val="decimal"/>
      <w:suff w:val="space"/>
      <w:lvlText w:val="%1.%2.%3"/>
      <w:lvlJc w:val="left"/>
      <w:pPr>
        <w:ind w:left="0" w:firstLine="0"/>
      </w:pPr>
      <w:rPr>
        <w:rFonts w:hint="eastAsia"/>
        <w:b/>
        <w:bCs w:val="0"/>
        <w:i w:val="0"/>
        <w:iCs w:val="0"/>
        <w:caps w:val="0"/>
        <w:smallCaps w:val="0"/>
        <w:strike w:val="0"/>
        <w:dstrike w:val="0"/>
        <w:color w:val="000000"/>
        <w:spacing w:val="0"/>
        <w:position w:val="0"/>
        <w:u w:val="none"/>
      </w:rPr>
    </w:lvl>
    <w:lvl w:ilvl="3" w:tentative="0">
      <w:start w:val="1"/>
      <w:numFmt w:val="decimal"/>
      <w:pStyle w:val="5"/>
      <w:suff w:val="space"/>
      <w:lvlText w:val="%1.%2.%3.%4"/>
      <w:lvlJc w:val="left"/>
      <w:pPr>
        <w:ind w:left="0" w:firstLine="0"/>
      </w:pPr>
      <w:rPr>
        <w:rFonts w:hint="eastAsia" w:ascii="Times New Roman" w:hAnsi="Times New Roman" w:cs="Times New Roman"/>
        <w:b/>
        <w:bCs w:val="0"/>
        <w:i w:val="0"/>
        <w:iCs w:val="0"/>
        <w:caps w:val="0"/>
        <w:smallCaps w:val="0"/>
        <w:strike w:val="0"/>
        <w:dstrike w:val="0"/>
        <w:color w:val="000000"/>
        <w:spacing w:val="0"/>
        <w:position w:val="0"/>
        <w:u w:val="none"/>
      </w:rPr>
    </w:lvl>
    <w:lvl w:ilvl="4" w:tentative="0">
      <w:start w:val="1"/>
      <w:numFmt w:val="decimal"/>
      <w:lvlText w:val="%1.%2.%3.%4.%5"/>
      <w:lvlJc w:val="left"/>
      <w:pPr>
        <w:tabs>
          <w:tab w:val="left" w:pos="720"/>
        </w:tabs>
        <w:ind w:left="720" w:firstLine="0"/>
      </w:pPr>
      <w:rPr>
        <w:rFonts w:hint="eastAsia" w:ascii="Times New Roman" w:hAnsi="Times New Roman" w:cs="Times New Roman"/>
        <w:b w:val="0"/>
        <w:bCs w:val="0"/>
        <w:i w:val="0"/>
        <w:iCs w:val="0"/>
        <w:caps w:val="0"/>
        <w:smallCaps w:val="0"/>
        <w:strike w:val="0"/>
        <w:dstrike w:val="0"/>
        <w:color w:val="000000"/>
        <w:spacing w:val="0"/>
        <w:position w:val="0"/>
        <w:u w:val="none"/>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NDM5NTI3YTI2MzU0NTA3MzliODM2N2FlYTc2NjYifQ=="/>
  </w:docVars>
  <w:rsids>
    <w:rsidRoot w:val="00172A27"/>
    <w:rsid w:val="00285502"/>
    <w:rsid w:val="002D2788"/>
    <w:rsid w:val="00733C95"/>
    <w:rsid w:val="00DC19CB"/>
    <w:rsid w:val="012415C2"/>
    <w:rsid w:val="01423F24"/>
    <w:rsid w:val="017B4BBD"/>
    <w:rsid w:val="01A7022B"/>
    <w:rsid w:val="01D1680C"/>
    <w:rsid w:val="01D55B47"/>
    <w:rsid w:val="01EE5E5A"/>
    <w:rsid w:val="01F6165D"/>
    <w:rsid w:val="02087A20"/>
    <w:rsid w:val="021C6C6C"/>
    <w:rsid w:val="02681D8C"/>
    <w:rsid w:val="02A91D81"/>
    <w:rsid w:val="02F373A7"/>
    <w:rsid w:val="03995481"/>
    <w:rsid w:val="03AD58A1"/>
    <w:rsid w:val="03CB7B24"/>
    <w:rsid w:val="043A5387"/>
    <w:rsid w:val="044C024B"/>
    <w:rsid w:val="044E3BDF"/>
    <w:rsid w:val="046E4052"/>
    <w:rsid w:val="04D706D5"/>
    <w:rsid w:val="04E87704"/>
    <w:rsid w:val="05360CF3"/>
    <w:rsid w:val="05614C7A"/>
    <w:rsid w:val="059B31F8"/>
    <w:rsid w:val="05A9624A"/>
    <w:rsid w:val="05EC03F0"/>
    <w:rsid w:val="06911288"/>
    <w:rsid w:val="06F42B68"/>
    <w:rsid w:val="07627F61"/>
    <w:rsid w:val="07857BC5"/>
    <w:rsid w:val="07872AC0"/>
    <w:rsid w:val="07921E93"/>
    <w:rsid w:val="07A01A45"/>
    <w:rsid w:val="07E643A6"/>
    <w:rsid w:val="08067F20"/>
    <w:rsid w:val="08592B0D"/>
    <w:rsid w:val="08991F59"/>
    <w:rsid w:val="08D31906"/>
    <w:rsid w:val="08F70236"/>
    <w:rsid w:val="09017F7A"/>
    <w:rsid w:val="09290201"/>
    <w:rsid w:val="09682A4F"/>
    <w:rsid w:val="096F7A09"/>
    <w:rsid w:val="09AE6015"/>
    <w:rsid w:val="09CD427B"/>
    <w:rsid w:val="09F31D9F"/>
    <w:rsid w:val="0A1F7296"/>
    <w:rsid w:val="0A374430"/>
    <w:rsid w:val="0A3C63D0"/>
    <w:rsid w:val="0A4F7B1C"/>
    <w:rsid w:val="0BD02354"/>
    <w:rsid w:val="0C312BFA"/>
    <w:rsid w:val="0C8073F8"/>
    <w:rsid w:val="0CA35B13"/>
    <w:rsid w:val="0D750F31"/>
    <w:rsid w:val="0E140D02"/>
    <w:rsid w:val="0E3A1F14"/>
    <w:rsid w:val="0E865C80"/>
    <w:rsid w:val="0EB47119"/>
    <w:rsid w:val="0EEC178F"/>
    <w:rsid w:val="0F0C76AB"/>
    <w:rsid w:val="0F7D61F5"/>
    <w:rsid w:val="0FC07E01"/>
    <w:rsid w:val="105F163E"/>
    <w:rsid w:val="10C15A17"/>
    <w:rsid w:val="11EE50AB"/>
    <w:rsid w:val="12100067"/>
    <w:rsid w:val="12321614"/>
    <w:rsid w:val="12F82368"/>
    <w:rsid w:val="132F0080"/>
    <w:rsid w:val="13433851"/>
    <w:rsid w:val="136E2957"/>
    <w:rsid w:val="139042E6"/>
    <w:rsid w:val="1393060F"/>
    <w:rsid w:val="13CF3A9D"/>
    <w:rsid w:val="14115C0D"/>
    <w:rsid w:val="141C6857"/>
    <w:rsid w:val="14470016"/>
    <w:rsid w:val="14647F10"/>
    <w:rsid w:val="149C2744"/>
    <w:rsid w:val="14A95C11"/>
    <w:rsid w:val="14C40C02"/>
    <w:rsid w:val="14E56EB1"/>
    <w:rsid w:val="14E833C5"/>
    <w:rsid w:val="14EF6AF2"/>
    <w:rsid w:val="15202377"/>
    <w:rsid w:val="15353F94"/>
    <w:rsid w:val="15864CBE"/>
    <w:rsid w:val="158B717A"/>
    <w:rsid w:val="15A30A8C"/>
    <w:rsid w:val="15AB0040"/>
    <w:rsid w:val="15F874A1"/>
    <w:rsid w:val="160B5ABA"/>
    <w:rsid w:val="16394E85"/>
    <w:rsid w:val="16590C32"/>
    <w:rsid w:val="16BF796D"/>
    <w:rsid w:val="16D60828"/>
    <w:rsid w:val="16E641C4"/>
    <w:rsid w:val="17203A97"/>
    <w:rsid w:val="17696FE0"/>
    <w:rsid w:val="177C2B6D"/>
    <w:rsid w:val="17B42592"/>
    <w:rsid w:val="17DD0A63"/>
    <w:rsid w:val="17F77252"/>
    <w:rsid w:val="18125C7A"/>
    <w:rsid w:val="188A223C"/>
    <w:rsid w:val="1892516D"/>
    <w:rsid w:val="18D766FA"/>
    <w:rsid w:val="194045ED"/>
    <w:rsid w:val="19B17A41"/>
    <w:rsid w:val="19DD3EF8"/>
    <w:rsid w:val="19F73E81"/>
    <w:rsid w:val="1A8C2A62"/>
    <w:rsid w:val="1AF04599"/>
    <w:rsid w:val="1B0C5089"/>
    <w:rsid w:val="1B2F580A"/>
    <w:rsid w:val="1B3A4B23"/>
    <w:rsid w:val="1B676D5F"/>
    <w:rsid w:val="1B7B2A2A"/>
    <w:rsid w:val="1BAD4F54"/>
    <w:rsid w:val="1BB05AD7"/>
    <w:rsid w:val="1BE97638"/>
    <w:rsid w:val="1BF55770"/>
    <w:rsid w:val="1C3E3371"/>
    <w:rsid w:val="1C770AC4"/>
    <w:rsid w:val="1CA03525"/>
    <w:rsid w:val="1CAC3741"/>
    <w:rsid w:val="1D6762C4"/>
    <w:rsid w:val="1DB9579F"/>
    <w:rsid w:val="1DFB08D0"/>
    <w:rsid w:val="1E2A1857"/>
    <w:rsid w:val="1E6C5ADB"/>
    <w:rsid w:val="1EB55A71"/>
    <w:rsid w:val="1EC90F46"/>
    <w:rsid w:val="1EFA7794"/>
    <w:rsid w:val="1F165581"/>
    <w:rsid w:val="1F7040EE"/>
    <w:rsid w:val="1FC42DC7"/>
    <w:rsid w:val="1FFA3FF9"/>
    <w:rsid w:val="20027E8A"/>
    <w:rsid w:val="2060293B"/>
    <w:rsid w:val="20915ED7"/>
    <w:rsid w:val="209F7DAC"/>
    <w:rsid w:val="20D73A5A"/>
    <w:rsid w:val="21143B4C"/>
    <w:rsid w:val="21325C72"/>
    <w:rsid w:val="2137097C"/>
    <w:rsid w:val="21B749D0"/>
    <w:rsid w:val="21E81F4C"/>
    <w:rsid w:val="21FE726F"/>
    <w:rsid w:val="22057C02"/>
    <w:rsid w:val="2214244A"/>
    <w:rsid w:val="22181FF2"/>
    <w:rsid w:val="2224602D"/>
    <w:rsid w:val="225A7C8A"/>
    <w:rsid w:val="226002D5"/>
    <w:rsid w:val="22BA2122"/>
    <w:rsid w:val="22D54F67"/>
    <w:rsid w:val="23925D1D"/>
    <w:rsid w:val="23D37805"/>
    <w:rsid w:val="247F4FF4"/>
    <w:rsid w:val="24D85EEB"/>
    <w:rsid w:val="255D78A2"/>
    <w:rsid w:val="25634F98"/>
    <w:rsid w:val="257974D5"/>
    <w:rsid w:val="25916AA4"/>
    <w:rsid w:val="25D65D28"/>
    <w:rsid w:val="260B587A"/>
    <w:rsid w:val="26117FA0"/>
    <w:rsid w:val="262275D1"/>
    <w:rsid w:val="263C1438"/>
    <w:rsid w:val="26E0338E"/>
    <w:rsid w:val="26EC2707"/>
    <w:rsid w:val="270D7D6E"/>
    <w:rsid w:val="271B2112"/>
    <w:rsid w:val="273D3CE1"/>
    <w:rsid w:val="273F2C22"/>
    <w:rsid w:val="273F5085"/>
    <w:rsid w:val="27777B13"/>
    <w:rsid w:val="27C7045C"/>
    <w:rsid w:val="27DC2B23"/>
    <w:rsid w:val="280C6F05"/>
    <w:rsid w:val="281B0309"/>
    <w:rsid w:val="283178CB"/>
    <w:rsid w:val="288F5D7B"/>
    <w:rsid w:val="289B7569"/>
    <w:rsid w:val="28AA153E"/>
    <w:rsid w:val="28FC341A"/>
    <w:rsid w:val="2A1C69F8"/>
    <w:rsid w:val="2A8B4E09"/>
    <w:rsid w:val="2A9D4879"/>
    <w:rsid w:val="2AA14CA8"/>
    <w:rsid w:val="2AC121DF"/>
    <w:rsid w:val="2AD14B31"/>
    <w:rsid w:val="2AD57C80"/>
    <w:rsid w:val="2AF10F5C"/>
    <w:rsid w:val="2B0C7BEA"/>
    <w:rsid w:val="2B65243A"/>
    <w:rsid w:val="2B7649BE"/>
    <w:rsid w:val="2B833315"/>
    <w:rsid w:val="2BAA6116"/>
    <w:rsid w:val="2BE95FAD"/>
    <w:rsid w:val="2C387E6F"/>
    <w:rsid w:val="2C421C7B"/>
    <w:rsid w:val="2C5D61AC"/>
    <w:rsid w:val="2C855069"/>
    <w:rsid w:val="2CA43435"/>
    <w:rsid w:val="2CDF5A47"/>
    <w:rsid w:val="2D000B7F"/>
    <w:rsid w:val="2D280BC1"/>
    <w:rsid w:val="2D3E15A4"/>
    <w:rsid w:val="2D9A22EF"/>
    <w:rsid w:val="2DD0519A"/>
    <w:rsid w:val="2E20215E"/>
    <w:rsid w:val="2E4072AA"/>
    <w:rsid w:val="2E521804"/>
    <w:rsid w:val="2E5D640D"/>
    <w:rsid w:val="2E7A2EB2"/>
    <w:rsid w:val="2E82340D"/>
    <w:rsid w:val="2E9D5498"/>
    <w:rsid w:val="2E9F3BE2"/>
    <w:rsid w:val="2F67058E"/>
    <w:rsid w:val="2F7C3F50"/>
    <w:rsid w:val="2F8F7792"/>
    <w:rsid w:val="30221FB4"/>
    <w:rsid w:val="304A7159"/>
    <w:rsid w:val="304B1338"/>
    <w:rsid w:val="30AB6B41"/>
    <w:rsid w:val="30F069FA"/>
    <w:rsid w:val="30F83409"/>
    <w:rsid w:val="30FB32F8"/>
    <w:rsid w:val="317B4B1E"/>
    <w:rsid w:val="32052280"/>
    <w:rsid w:val="32E4458C"/>
    <w:rsid w:val="32FB783E"/>
    <w:rsid w:val="33071ADC"/>
    <w:rsid w:val="33405C86"/>
    <w:rsid w:val="334E34FC"/>
    <w:rsid w:val="33520B64"/>
    <w:rsid w:val="335A1288"/>
    <w:rsid w:val="336660D1"/>
    <w:rsid w:val="3401422B"/>
    <w:rsid w:val="341A5D77"/>
    <w:rsid w:val="3455090A"/>
    <w:rsid w:val="346A2584"/>
    <w:rsid w:val="34BB7587"/>
    <w:rsid w:val="34BD1541"/>
    <w:rsid w:val="34C42AA8"/>
    <w:rsid w:val="34C70C8A"/>
    <w:rsid w:val="34D038C0"/>
    <w:rsid w:val="35051296"/>
    <w:rsid w:val="35226149"/>
    <w:rsid w:val="35226409"/>
    <w:rsid w:val="355510D6"/>
    <w:rsid w:val="35614F37"/>
    <w:rsid w:val="35916E07"/>
    <w:rsid w:val="359A757A"/>
    <w:rsid w:val="3631346C"/>
    <w:rsid w:val="366E2AEA"/>
    <w:rsid w:val="36767719"/>
    <w:rsid w:val="368F1EED"/>
    <w:rsid w:val="36C56525"/>
    <w:rsid w:val="36EB32A4"/>
    <w:rsid w:val="36F02A16"/>
    <w:rsid w:val="373240D5"/>
    <w:rsid w:val="374C17F7"/>
    <w:rsid w:val="377A54BF"/>
    <w:rsid w:val="37F237F8"/>
    <w:rsid w:val="37F877E0"/>
    <w:rsid w:val="3836588A"/>
    <w:rsid w:val="3860185A"/>
    <w:rsid w:val="389F6C5E"/>
    <w:rsid w:val="390B59DF"/>
    <w:rsid w:val="39364032"/>
    <w:rsid w:val="399251D2"/>
    <w:rsid w:val="39E843EE"/>
    <w:rsid w:val="39F14134"/>
    <w:rsid w:val="3A2A69FC"/>
    <w:rsid w:val="3A496523"/>
    <w:rsid w:val="3A7033B3"/>
    <w:rsid w:val="3A867BB1"/>
    <w:rsid w:val="3AA75770"/>
    <w:rsid w:val="3B5B73B5"/>
    <w:rsid w:val="3B950B19"/>
    <w:rsid w:val="3BBC1D7C"/>
    <w:rsid w:val="3C0C5739"/>
    <w:rsid w:val="3C371BD0"/>
    <w:rsid w:val="3C665805"/>
    <w:rsid w:val="3C805325"/>
    <w:rsid w:val="3D9A2417"/>
    <w:rsid w:val="3DA26822"/>
    <w:rsid w:val="3DB86DD6"/>
    <w:rsid w:val="3DDC2BB6"/>
    <w:rsid w:val="3DE06A0F"/>
    <w:rsid w:val="3E771221"/>
    <w:rsid w:val="3EC87493"/>
    <w:rsid w:val="3ECA6D2C"/>
    <w:rsid w:val="3F363F8B"/>
    <w:rsid w:val="3F824E8C"/>
    <w:rsid w:val="3FBE3C9E"/>
    <w:rsid w:val="407A1888"/>
    <w:rsid w:val="40811207"/>
    <w:rsid w:val="4089777C"/>
    <w:rsid w:val="408A3C30"/>
    <w:rsid w:val="409F7D44"/>
    <w:rsid w:val="40C913D4"/>
    <w:rsid w:val="40CC5DE9"/>
    <w:rsid w:val="40F679C1"/>
    <w:rsid w:val="410E3E35"/>
    <w:rsid w:val="41534C28"/>
    <w:rsid w:val="41A650C0"/>
    <w:rsid w:val="41D10E53"/>
    <w:rsid w:val="41DD6A83"/>
    <w:rsid w:val="41E87F50"/>
    <w:rsid w:val="41E9719C"/>
    <w:rsid w:val="421676EB"/>
    <w:rsid w:val="42371BC0"/>
    <w:rsid w:val="42A11B51"/>
    <w:rsid w:val="42A94EAA"/>
    <w:rsid w:val="43100811"/>
    <w:rsid w:val="435E5746"/>
    <w:rsid w:val="437159C8"/>
    <w:rsid w:val="43AC79FF"/>
    <w:rsid w:val="43D60E26"/>
    <w:rsid w:val="444B22B5"/>
    <w:rsid w:val="44695E5B"/>
    <w:rsid w:val="447314CE"/>
    <w:rsid w:val="44865664"/>
    <w:rsid w:val="448E3562"/>
    <w:rsid w:val="44F945DA"/>
    <w:rsid w:val="45384445"/>
    <w:rsid w:val="453F5652"/>
    <w:rsid w:val="458C75D8"/>
    <w:rsid w:val="45A904AC"/>
    <w:rsid w:val="45A9090B"/>
    <w:rsid w:val="460D2E36"/>
    <w:rsid w:val="463D0E74"/>
    <w:rsid w:val="46905A4C"/>
    <w:rsid w:val="46A97923"/>
    <w:rsid w:val="46C2744B"/>
    <w:rsid w:val="46C93599"/>
    <w:rsid w:val="46CD505E"/>
    <w:rsid w:val="4708409D"/>
    <w:rsid w:val="48A155A1"/>
    <w:rsid w:val="48A26146"/>
    <w:rsid w:val="48E17742"/>
    <w:rsid w:val="49690EEF"/>
    <w:rsid w:val="49835FF6"/>
    <w:rsid w:val="49934965"/>
    <w:rsid w:val="499E03EC"/>
    <w:rsid w:val="49BC54C3"/>
    <w:rsid w:val="49CD0C90"/>
    <w:rsid w:val="4A0E3C60"/>
    <w:rsid w:val="4A17247D"/>
    <w:rsid w:val="4A7077B2"/>
    <w:rsid w:val="4A8E1FAD"/>
    <w:rsid w:val="4A987224"/>
    <w:rsid w:val="4C1027F5"/>
    <w:rsid w:val="4C140938"/>
    <w:rsid w:val="4C4869B3"/>
    <w:rsid w:val="4C670FC4"/>
    <w:rsid w:val="4C811A39"/>
    <w:rsid w:val="4D187B9C"/>
    <w:rsid w:val="4D4D782C"/>
    <w:rsid w:val="4D5F00C6"/>
    <w:rsid w:val="4DC94652"/>
    <w:rsid w:val="4DDE1B7F"/>
    <w:rsid w:val="4E0A0EF3"/>
    <w:rsid w:val="4E0B6B58"/>
    <w:rsid w:val="4E34569A"/>
    <w:rsid w:val="4E553227"/>
    <w:rsid w:val="4E663285"/>
    <w:rsid w:val="4EA41E49"/>
    <w:rsid w:val="4EDA6CE4"/>
    <w:rsid w:val="4EE65F3F"/>
    <w:rsid w:val="4F17434B"/>
    <w:rsid w:val="4F867E4E"/>
    <w:rsid w:val="504A7CCC"/>
    <w:rsid w:val="505A6944"/>
    <w:rsid w:val="50611DAF"/>
    <w:rsid w:val="5089670A"/>
    <w:rsid w:val="50DD5D75"/>
    <w:rsid w:val="51E647F7"/>
    <w:rsid w:val="520533FB"/>
    <w:rsid w:val="52143AFD"/>
    <w:rsid w:val="522B3DE7"/>
    <w:rsid w:val="52555569"/>
    <w:rsid w:val="52F91162"/>
    <w:rsid w:val="52FC2DD4"/>
    <w:rsid w:val="53190FD9"/>
    <w:rsid w:val="53603F71"/>
    <w:rsid w:val="53765A26"/>
    <w:rsid w:val="53795DEA"/>
    <w:rsid w:val="53954603"/>
    <w:rsid w:val="5398647F"/>
    <w:rsid w:val="546F2AEB"/>
    <w:rsid w:val="54CE3C4A"/>
    <w:rsid w:val="55411B42"/>
    <w:rsid w:val="5579019D"/>
    <w:rsid w:val="559F7E89"/>
    <w:rsid w:val="55B81234"/>
    <w:rsid w:val="55BC3AD1"/>
    <w:rsid w:val="5611243C"/>
    <w:rsid w:val="565C381F"/>
    <w:rsid w:val="56723939"/>
    <w:rsid w:val="56752603"/>
    <w:rsid w:val="56B03064"/>
    <w:rsid w:val="56BD1629"/>
    <w:rsid w:val="56FB049E"/>
    <w:rsid w:val="5773796F"/>
    <w:rsid w:val="579932E7"/>
    <w:rsid w:val="57B719BC"/>
    <w:rsid w:val="57C65626"/>
    <w:rsid w:val="57E478CE"/>
    <w:rsid w:val="588C0756"/>
    <w:rsid w:val="58B55C87"/>
    <w:rsid w:val="58E45F93"/>
    <w:rsid w:val="58E73667"/>
    <w:rsid w:val="590929B0"/>
    <w:rsid w:val="591A79B6"/>
    <w:rsid w:val="59404E79"/>
    <w:rsid w:val="595F65D1"/>
    <w:rsid w:val="59821989"/>
    <w:rsid w:val="59B70E38"/>
    <w:rsid w:val="59F754D4"/>
    <w:rsid w:val="5A2447F3"/>
    <w:rsid w:val="5A39015A"/>
    <w:rsid w:val="5A600D7D"/>
    <w:rsid w:val="5A663C6D"/>
    <w:rsid w:val="5AF116BD"/>
    <w:rsid w:val="5AFC50AF"/>
    <w:rsid w:val="5B4F712A"/>
    <w:rsid w:val="5BA81DEA"/>
    <w:rsid w:val="5BB416EF"/>
    <w:rsid w:val="5BBB04C9"/>
    <w:rsid w:val="5C02145B"/>
    <w:rsid w:val="5C0F33DD"/>
    <w:rsid w:val="5C1E2DC4"/>
    <w:rsid w:val="5C500C07"/>
    <w:rsid w:val="5C591D09"/>
    <w:rsid w:val="5CB762E9"/>
    <w:rsid w:val="5D014BFA"/>
    <w:rsid w:val="5D194829"/>
    <w:rsid w:val="5D6B68D5"/>
    <w:rsid w:val="5D8442C9"/>
    <w:rsid w:val="5DA66549"/>
    <w:rsid w:val="5DFD637E"/>
    <w:rsid w:val="5E917EAA"/>
    <w:rsid w:val="5ECA634C"/>
    <w:rsid w:val="5EF452EC"/>
    <w:rsid w:val="5F27080E"/>
    <w:rsid w:val="5F2D4723"/>
    <w:rsid w:val="5F313E05"/>
    <w:rsid w:val="5F3E17D5"/>
    <w:rsid w:val="5F71128A"/>
    <w:rsid w:val="5F9347C8"/>
    <w:rsid w:val="5FEA2220"/>
    <w:rsid w:val="6045671D"/>
    <w:rsid w:val="606D04A3"/>
    <w:rsid w:val="60AB3A08"/>
    <w:rsid w:val="60D3786A"/>
    <w:rsid w:val="61052DF9"/>
    <w:rsid w:val="6130229A"/>
    <w:rsid w:val="61363955"/>
    <w:rsid w:val="61572249"/>
    <w:rsid w:val="6256228E"/>
    <w:rsid w:val="62853361"/>
    <w:rsid w:val="62B831C1"/>
    <w:rsid w:val="62BA4BEA"/>
    <w:rsid w:val="62CF68EA"/>
    <w:rsid w:val="63715BA8"/>
    <w:rsid w:val="63800D2E"/>
    <w:rsid w:val="63C91E94"/>
    <w:rsid w:val="64370110"/>
    <w:rsid w:val="643E32B9"/>
    <w:rsid w:val="64D14E08"/>
    <w:rsid w:val="65627461"/>
    <w:rsid w:val="65C43C25"/>
    <w:rsid w:val="65CA32A0"/>
    <w:rsid w:val="65E77401"/>
    <w:rsid w:val="65FC33BF"/>
    <w:rsid w:val="66AA7F8F"/>
    <w:rsid w:val="66E612EE"/>
    <w:rsid w:val="66E63C24"/>
    <w:rsid w:val="671007B9"/>
    <w:rsid w:val="67391E88"/>
    <w:rsid w:val="675863D3"/>
    <w:rsid w:val="675D7CB8"/>
    <w:rsid w:val="67A41370"/>
    <w:rsid w:val="67A755AC"/>
    <w:rsid w:val="68272D07"/>
    <w:rsid w:val="68B07C80"/>
    <w:rsid w:val="68D565A8"/>
    <w:rsid w:val="69AE7235"/>
    <w:rsid w:val="69D54F09"/>
    <w:rsid w:val="69EB0C64"/>
    <w:rsid w:val="6A147573"/>
    <w:rsid w:val="6A3F33A9"/>
    <w:rsid w:val="6A795B01"/>
    <w:rsid w:val="6A7B2288"/>
    <w:rsid w:val="6AD965D0"/>
    <w:rsid w:val="6AE57CC7"/>
    <w:rsid w:val="6AFC6EF7"/>
    <w:rsid w:val="6B384575"/>
    <w:rsid w:val="6B570121"/>
    <w:rsid w:val="6B637032"/>
    <w:rsid w:val="6B7752F2"/>
    <w:rsid w:val="6BDB475D"/>
    <w:rsid w:val="6BFF1D07"/>
    <w:rsid w:val="6C2151AA"/>
    <w:rsid w:val="6CC23F43"/>
    <w:rsid w:val="6CC24944"/>
    <w:rsid w:val="6CE71FCB"/>
    <w:rsid w:val="6D013069"/>
    <w:rsid w:val="6D703160"/>
    <w:rsid w:val="6E7B26F0"/>
    <w:rsid w:val="6E907650"/>
    <w:rsid w:val="6EAA69C0"/>
    <w:rsid w:val="6EBB68D3"/>
    <w:rsid w:val="6EEA6F2E"/>
    <w:rsid w:val="6F3D0E01"/>
    <w:rsid w:val="6F5A6006"/>
    <w:rsid w:val="6F8C0561"/>
    <w:rsid w:val="6FA50623"/>
    <w:rsid w:val="6FBB353C"/>
    <w:rsid w:val="6FF40792"/>
    <w:rsid w:val="701570FF"/>
    <w:rsid w:val="705219E6"/>
    <w:rsid w:val="706359C1"/>
    <w:rsid w:val="707352C8"/>
    <w:rsid w:val="708F5FDD"/>
    <w:rsid w:val="70B54C51"/>
    <w:rsid w:val="70D22AF0"/>
    <w:rsid w:val="713F4F2F"/>
    <w:rsid w:val="719B0488"/>
    <w:rsid w:val="71B66B18"/>
    <w:rsid w:val="71C4090A"/>
    <w:rsid w:val="71D17800"/>
    <w:rsid w:val="72504B83"/>
    <w:rsid w:val="727916F5"/>
    <w:rsid w:val="73090EC9"/>
    <w:rsid w:val="7375030D"/>
    <w:rsid w:val="73C2117C"/>
    <w:rsid w:val="73E86ED0"/>
    <w:rsid w:val="74167DE3"/>
    <w:rsid w:val="7472484C"/>
    <w:rsid w:val="747B1E68"/>
    <w:rsid w:val="749F2E1A"/>
    <w:rsid w:val="750E0FD0"/>
    <w:rsid w:val="754216C1"/>
    <w:rsid w:val="75BD124E"/>
    <w:rsid w:val="75C7203D"/>
    <w:rsid w:val="764F693C"/>
    <w:rsid w:val="770A0CC3"/>
    <w:rsid w:val="771E77B9"/>
    <w:rsid w:val="77592B9B"/>
    <w:rsid w:val="777E5D17"/>
    <w:rsid w:val="77E41408"/>
    <w:rsid w:val="77F2439C"/>
    <w:rsid w:val="780954A3"/>
    <w:rsid w:val="782549A0"/>
    <w:rsid w:val="78700FBA"/>
    <w:rsid w:val="788405CB"/>
    <w:rsid w:val="78D6777B"/>
    <w:rsid w:val="7962424D"/>
    <w:rsid w:val="7A0643B5"/>
    <w:rsid w:val="7A2134D3"/>
    <w:rsid w:val="7A8D4D62"/>
    <w:rsid w:val="7AA92364"/>
    <w:rsid w:val="7B746C71"/>
    <w:rsid w:val="7B8117A9"/>
    <w:rsid w:val="7B8351D1"/>
    <w:rsid w:val="7BED7813"/>
    <w:rsid w:val="7C9000FA"/>
    <w:rsid w:val="7CAD6D69"/>
    <w:rsid w:val="7D5E0B05"/>
    <w:rsid w:val="7D9F624B"/>
    <w:rsid w:val="7D9F7B3D"/>
    <w:rsid w:val="7DB078EA"/>
    <w:rsid w:val="7E4342AC"/>
    <w:rsid w:val="7E536ABA"/>
    <w:rsid w:val="7E5E47BF"/>
    <w:rsid w:val="7E8537CD"/>
    <w:rsid w:val="7E93025D"/>
    <w:rsid w:val="7EAA0BE4"/>
    <w:rsid w:val="7EC73A39"/>
    <w:rsid w:val="7F0D131B"/>
    <w:rsid w:val="7F866B4F"/>
    <w:rsid w:val="7F9336FF"/>
    <w:rsid w:val="7F9C2A34"/>
    <w:rsid w:val="7FB20DB0"/>
    <w:rsid w:val="7FFC3D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0" w:firstLineChars="200"/>
      <w:jc w:val="both"/>
    </w:pPr>
    <w:rPr>
      <w:rFonts w:ascii="仿宋_GB2312" w:hAnsi="仿宋_GB2312" w:eastAsia="仿宋_GB2312" w:cs="仿宋_GB2312"/>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ascii="方正小标宋简体" w:hAnsi="方正小标宋简体" w:eastAsia="方正小标宋简体" w:cs="方正小标宋简体"/>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keepNext/>
      <w:keepLines/>
      <w:numPr>
        <w:ilvl w:val="3"/>
        <w:numId w:val="1"/>
      </w:numPr>
      <w:spacing w:line="360" w:lineRule="auto"/>
      <w:jc w:val="left"/>
      <w:outlineLvl w:val="3"/>
    </w:pPr>
    <w:rPr>
      <w:b/>
      <w:bCs/>
      <w:sz w:val="24"/>
    </w:rPr>
  </w:style>
  <w:style w:type="character" w:default="1" w:styleId="14">
    <w:name w:val="Default Paragraph Font"/>
    <w:semiHidden/>
    <w:qFormat/>
    <w:uiPriority w:val="0"/>
    <w:rPr>
      <w:rFonts w:ascii="Tahoma" w:hAnsi="Tahoma"/>
      <w:sz w:val="28"/>
      <w:szCs w:val="20"/>
    </w:rPr>
  </w:style>
  <w:style w:type="table" w:default="1" w:styleId="12">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rFonts w:asciiTheme="minorHAnsi" w:hAnsiTheme="minorHAnsi" w:cstheme="minorBidi"/>
      <w:lang w:bidi="he-IL"/>
    </w:r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ind w:firstLine="0" w:firstLineChars="0"/>
      <w:jc w:val="left"/>
    </w:pPr>
    <w:rPr>
      <w:sz w:val="28"/>
      <w:szCs w:val="2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w:basedOn w:val="1"/>
    <w:qFormat/>
    <w:uiPriority w:val="0"/>
    <w:pPr>
      <w:ind w:left="200" w:hanging="200" w:hangingChars="200"/>
    </w:pPr>
  </w:style>
  <w:style w:type="paragraph" w:styleId="11">
    <w:name w:val="Title"/>
    <w:basedOn w:val="1"/>
    <w:next w:val="1"/>
    <w:qFormat/>
    <w:uiPriority w:val="10"/>
    <w:pPr>
      <w:spacing w:before="240" w:after="60"/>
      <w:jc w:val="center"/>
      <w:outlineLvl w:val="0"/>
    </w:pPr>
    <w:rPr>
      <w:rFonts w:ascii="Calibri Light" w:hAnsi="Calibri Light" w:cs="Times New Roman"/>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qFormat/>
    <w:uiPriority w:val="0"/>
    <w:rPr>
      <w:color w:val="0000FF"/>
      <w:u w:val="single"/>
    </w:rPr>
  </w:style>
  <w:style w:type="table" w:customStyle="1" w:styleId="16">
    <w:name w:val="正文+宋体4"/>
    <w:basedOn w:val="12"/>
    <w:qFormat/>
    <w:uiPriority w:val="99"/>
    <w:pPr>
      <w:widowControl w:val="0"/>
      <w:jc w:val="center"/>
    </w:pPr>
    <w:rPr>
      <w:szCs w:val="21"/>
    </w:rPr>
    <w:tblPr>
      <w:tblBorders>
        <w:top w:val="single" w:color="auto" w:sz="12" w:space="0"/>
        <w:bottom w:val="single" w:color="auto" w:sz="12" w:space="0"/>
        <w:insideH w:val="single" w:color="auto" w:sz="6" w:space="0"/>
        <w:insideV w:val="single" w:color="auto" w:sz="6" w:space="0"/>
      </w:tblBorders>
      <w:tblCellMar>
        <w:top w:w="0" w:type="dxa"/>
        <w:left w:w="108" w:type="dxa"/>
        <w:bottom w:w="0" w:type="dxa"/>
        <w:right w:w="108" w:type="dxa"/>
      </w:tblCellMar>
    </w:tblPr>
    <w:tcPr>
      <w:tcMar>
        <w:left w:w="28" w:type="dxa"/>
        <w:right w:w="28" w:type="dxa"/>
      </w:tcMar>
      <w:vAlign w:val="center"/>
    </w:tcPr>
  </w:style>
  <w:style w:type="paragraph" w:customStyle="1" w:styleId="17">
    <w:name w:val="环评批文文号"/>
    <w:basedOn w:val="1"/>
    <w:qFormat/>
    <w:uiPriority w:val="0"/>
    <w:pPr>
      <w:spacing w:before="1520" w:after="100" w:afterLines="100" w:line="600" w:lineRule="exact"/>
      <w:ind w:firstLine="0" w:firstLineChars="0"/>
      <w:jc w:val="right"/>
      <w:outlineLvl w:val="9"/>
    </w:pPr>
    <w:rPr>
      <w:rFonts w:hint="eastAsia"/>
      <w:color w:val="000000"/>
    </w:rPr>
  </w:style>
  <w:style w:type="paragraph" w:customStyle="1" w:styleId="18">
    <w:name w:val="主送机关"/>
    <w:basedOn w:val="1"/>
    <w:next w:val="1"/>
    <w:qFormat/>
    <w:uiPriority w:val="0"/>
    <w:pPr>
      <w:spacing w:line="600" w:lineRule="exact"/>
      <w:ind w:firstLine="0" w:firstLineChars="0"/>
      <w:outlineLvl w:val="9"/>
    </w:pPr>
    <w:rPr>
      <w:rFonts w:hint="eastAsia"/>
      <w:color w:val="000000"/>
    </w:rPr>
  </w:style>
  <w:style w:type="paragraph" w:customStyle="1" w:styleId="19">
    <w:name w:val="抄送单位"/>
    <w:basedOn w:val="1"/>
    <w:next w:val="1"/>
    <w:qFormat/>
    <w:uiPriority w:val="0"/>
    <w:pPr>
      <w:wordWrap w:val="0"/>
      <w:spacing w:line="600" w:lineRule="exact"/>
      <w:ind w:firstLine="0" w:firstLineChars="0"/>
      <w:jc w:val="left"/>
      <w:outlineLvl w:val="9"/>
    </w:pPr>
    <w:rPr>
      <w:rFonts w:hint="eastAsia"/>
      <w:color w:val="000000"/>
      <w:sz w:val="32"/>
      <w:szCs w:val="30"/>
    </w:rPr>
  </w:style>
  <w:style w:type="paragraph" w:customStyle="1" w:styleId="20">
    <w:name w:val="0cyx正文"/>
    <w:basedOn w:val="21"/>
    <w:qFormat/>
    <w:uiPriority w:val="0"/>
    <w:pPr>
      <w:keepNext w:val="0"/>
      <w:keepLines w:val="0"/>
      <w:ind w:firstLine="480" w:firstLineChars="200"/>
      <w:jc w:val="both"/>
      <w:outlineLvl w:val="9"/>
    </w:pPr>
    <w:rPr>
      <w:rFonts w:eastAsia="宋体"/>
      <w:b w:val="0"/>
      <w:sz w:val="24"/>
      <w:szCs w:val="24"/>
    </w:rPr>
  </w:style>
  <w:style w:type="paragraph" w:customStyle="1" w:styleId="21">
    <w:name w:val="0cyx第2标题"/>
    <w:basedOn w:val="3"/>
    <w:qFormat/>
    <w:uiPriority w:val="0"/>
    <w:pPr>
      <w:widowControl w:val="0"/>
      <w:adjustRightInd w:val="0"/>
      <w:snapToGrid w:val="0"/>
      <w:spacing w:before="0" w:after="0" w:line="360" w:lineRule="auto"/>
      <w:ind w:firstLine="0" w:firstLineChars="0"/>
      <w:jc w:val="left"/>
    </w:pPr>
    <w:rPr>
      <w:rFonts w:ascii="Times New Roman" w:hAnsi="Times New Roman" w:eastAsia="黑体"/>
    </w:rPr>
  </w:style>
  <w:style w:type="paragraph" w:customStyle="1" w:styleId="22">
    <w:name w:val="5文章正文"/>
    <w:basedOn w:val="1"/>
    <w:qFormat/>
    <w:uiPriority w:val="0"/>
    <w:pPr>
      <w:spacing w:line="360" w:lineRule="auto"/>
      <w:ind w:firstLine="200" w:firstLineChars="200"/>
    </w:pPr>
    <w:rPr>
      <w:rFonts w:cstheme="minorBidi"/>
      <w:sz w:val="24"/>
      <w:szCs w:val="24"/>
    </w:rPr>
  </w:style>
  <w:style w:type="character" w:customStyle="1" w:styleId="23">
    <w:name w:val="正文（） Char"/>
    <w:link w:val="24"/>
    <w:qFormat/>
    <w:uiPriority w:val="0"/>
    <w:rPr>
      <w:rFonts w:ascii="Times New Roman" w:hAnsi="Times New Roman" w:cs="Times New Roman"/>
      <w:color w:val="FF0000"/>
    </w:rPr>
  </w:style>
  <w:style w:type="paragraph" w:customStyle="1" w:styleId="24">
    <w:name w:val="正文（）"/>
    <w:basedOn w:val="1"/>
    <w:link w:val="23"/>
    <w:qFormat/>
    <w:uiPriority w:val="0"/>
    <w:pPr>
      <w:adjustRightInd w:val="0"/>
      <w:snapToGrid w:val="0"/>
      <w:spacing w:line="360" w:lineRule="auto"/>
      <w:ind w:firstLine="200" w:firstLineChars="200"/>
      <w:jc w:val="both"/>
    </w:pPr>
    <w:rPr>
      <w:rFonts w:ascii="Times New Roman" w:hAnsi="Times New Roman" w:cs="Times New Roman"/>
      <w:color w:val="FF0000"/>
    </w:rPr>
  </w:style>
  <w:style w:type="character" w:customStyle="1" w:styleId="25">
    <w:name w:val="表格内容（） Char"/>
    <w:link w:val="26"/>
    <w:qFormat/>
    <w:uiPriority w:val="0"/>
    <w:rPr>
      <w:rFonts w:ascii="Times New Roman" w:hAnsi="Times New Roman" w:cs="Times New Roman"/>
      <w:color w:val="FF0000"/>
      <w:sz w:val="21"/>
      <w:szCs w:val="21"/>
    </w:rPr>
  </w:style>
  <w:style w:type="paragraph" w:customStyle="1" w:styleId="26">
    <w:name w:val="表格内容（）"/>
    <w:basedOn w:val="1"/>
    <w:link w:val="25"/>
    <w:qFormat/>
    <w:uiPriority w:val="0"/>
    <w:pPr>
      <w:widowControl w:val="0"/>
      <w:adjustRightInd w:val="0"/>
      <w:snapToGrid w:val="0"/>
      <w:jc w:val="center"/>
    </w:pPr>
    <w:rPr>
      <w:rFonts w:ascii="Times New Roman" w:hAnsi="Times New Roman" w:cs="Times New Roman"/>
      <w:color w:val="FF0000"/>
      <w:sz w:val="21"/>
      <w:szCs w:val="21"/>
    </w:rPr>
  </w:style>
  <w:style w:type="paragraph" w:customStyle="1" w:styleId="27">
    <w:name w:val="表格内容"/>
    <w:basedOn w:val="1"/>
    <w:next w:val="1"/>
    <w:qFormat/>
    <w:uiPriority w:val="0"/>
    <w:pPr>
      <w:spacing w:line="240" w:lineRule="auto"/>
      <w:jc w:val="center"/>
    </w:pPr>
    <w:rPr>
      <w:rFonts w:ascii="Times New Roman" w:hAnsi="Times New Roman" w:eastAsia="宋体"/>
      <w:kern w:val="0"/>
      <w:sz w:val="21"/>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2869</Words>
  <Characters>2993</Characters>
  <Lines>0</Lines>
  <Paragraphs>0</Paragraphs>
  <TotalTime>16</TotalTime>
  <ScaleCrop>false</ScaleCrop>
  <LinksUpToDate>false</LinksUpToDate>
  <CharactersWithSpaces>3011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2018-08-21T07:06:00Z</dcterms:created>
  <dc:creator>Yuri</dc:creator>
  <cp:lastModifiedBy>ccw</cp:lastModifiedBy>
  <cp:lastPrinted>2024-07-01T07:50:00Z</cp:lastPrinted>
  <dcterms:modified xsi:type="dcterms:W3CDTF">2025-06-24T01:19:05Z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B4DA65A82D7144E9AA39BB6545BC730F_13</vt:lpwstr>
  </property>
  <property fmtid="{D5CDD505-2E9C-101B-9397-08002B2CF9AE}" pid="4" name="KSOTemplateDocerSaveRecord">
    <vt:lpwstr>eyJoZGlkIjoiMDkxNDM5NTI3YTI2MzU0NTA3MzliODM2N2FlYTc2NjYiLCJ1c2VySWQiOiIzMzQ3ODA2NTEifQ==</vt:lpwstr>
  </property>
</Properties>
</file>