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C6186">
      <w:pPr>
        <w:keepNext w:val="0"/>
        <w:keepLines w:val="0"/>
        <w:pageBreakBefore w:val="0"/>
        <w:widowControl w:val="0"/>
        <w:suppressLineNumbers w:val="0"/>
        <w:kinsoku/>
        <w:wordWrap w:val="0"/>
        <w:overflowPunct/>
        <w:topLinePunct w:val="0"/>
        <w:autoSpaceDE/>
        <w:autoSpaceDN/>
        <w:bidi w:val="0"/>
        <w:adjustRightInd/>
        <w:snapToGrid w:val="0"/>
        <w:spacing w:before="1400" w:beforeAutospacing="0" w:afterAutospacing="0" w:line="240" w:lineRule="auto"/>
        <w:ind w:left="0" w:leftChars="0" w:right="250" w:rightChars="119" w:firstLine="0" w:firstLineChars="0"/>
        <w:jc w:val="right"/>
        <w:textAlignment w:val="auto"/>
        <w:outlineLvl w:val="9"/>
        <w:rPr>
          <w:rFonts w:hint="eastAsia" w:ascii="仿宋" w:hAnsi="仿宋" w:eastAsia="仿宋" w:cs="仿宋"/>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榕环评〔2025〕9号</w:t>
      </w:r>
    </w:p>
    <w:p w14:paraId="5E9428B5">
      <w:pPr>
        <w:keepNext w:val="0"/>
        <w:keepLines w:val="0"/>
        <w:pageBreakBefore w:val="0"/>
        <w:widowControl w:val="0"/>
        <w:suppressLineNumbers w:val="0"/>
        <w:kinsoku/>
        <w:wordWrap/>
        <w:overflowPunct/>
        <w:topLinePunct w:val="0"/>
        <w:autoSpaceDE/>
        <w:autoSpaceDN/>
        <w:bidi w:val="0"/>
        <w:adjustRightInd/>
        <w:snapToGrid w:val="0"/>
        <w:spacing w:before="800" w:beforeAutospacing="0" w:after="0" w:afterAutospacing="0" w:line="520"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福州市生态环境局关于</w:t>
      </w:r>
    </w:p>
    <w:p w14:paraId="0CA5B34F">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520" w:lineRule="exact"/>
        <w:ind w:left="0" w:right="0"/>
        <w:jc w:val="center"/>
        <w:textAlignment w:val="auto"/>
        <w:rPr>
          <w:rFonts w:hint="eastAsia"/>
          <w:highlight w:val="none"/>
          <w:lang w:val="en-US"/>
        </w:rPr>
      </w:pPr>
      <w:r>
        <w:rPr>
          <w:rFonts w:hint="eastAsia" w:ascii="方正小标宋简体" w:hAnsi="方正小标宋简体" w:eastAsia="方正小标宋简体" w:cs="方正小标宋简体"/>
          <w:kern w:val="2"/>
          <w:sz w:val="44"/>
          <w:szCs w:val="44"/>
          <w:highlight w:val="none"/>
          <w:lang w:val="en-US" w:eastAsia="zh-CN" w:bidi="ar"/>
        </w:rPr>
        <w:t>福建吴航不锈钢制品有限公司酸再生系统升级改造项目环境影响报告表的审批意见</w:t>
      </w:r>
    </w:p>
    <w:p w14:paraId="73DD7A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仿宋_GB2312" w:hAnsi="Times New Roman" w:eastAsia="仿宋_GB2312" w:cs="仿宋_GB2312"/>
          <w:kern w:val="2"/>
          <w:sz w:val="32"/>
          <w:szCs w:val="32"/>
          <w:highlight w:val="none"/>
          <w:lang w:val="en-US" w:eastAsia="zh-CN" w:bidi="ar"/>
        </w:rPr>
      </w:pPr>
    </w:p>
    <w:p w14:paraId="01A2F1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eastAsia" w:ascii="仿宋_GB2312" w:eastAsia="仿宋_GB2312" w:cs="仿宋_GB2312"/>
          <w:sz w:val="32"/>
          <w:szCs w:val="32"/>
          <w:highlight w:val="none"/>
          <w:lang w:val="en-US"/>
        </w:rPr>
      </w:pPr>
      <w:r>
        <w:rPr>
          <w:rFonts w:hint="eastAsia" w:ascii="仿宋_GB2312" w:hAnsi="Times New Roman" w:eastAsia="仿宋_GB2312" w:cs="仿宋_GB2312"/>
          <w:kern w:val="2"/>
          <w:sz w:val="32"/>
          <w:szCs w:val="32"/>
          <w:highlight w:val="none"/>
          <w:lang w:val="en-US" w:eastAsia="zh-CN" w:bidi="ar"/>
        </w:rPr>
        <w:t>福建吴航不锈钢制品有限公司：</w:t>
      </w:r>
    </w:p>
    <w:p w14:paraId="56EBD3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你司报送的《福建吴航不锈钢制品有限公司酸再生系统升级改造项目环境影响报告表》(以下简称《报告表》)收悉。根据《环境影响评价法》第22条等规定，并征求福州市长乐生态环境局意见，现提出审批意见如下：</w:t>
      </w:r>
    </w:p>
    <w:p w14:paraId="1DA5DF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一、福建吴航不锈钢制品有限公司酸再生系统升级改造项目位于福州市长乐区航城街道霞洲村福建吴航不锈钢制品有限公司洋屿分厂规划范围内，项目不新增生产能力，对固溶化车间南侧水处理区域进行改造，采用喷雾焙烧技术建设一套酸再生系统，废酸处理能力为3m</w:t>
      </w:r>
      <w:r>
        <w:rPr>
          <w:rFonts w:hint="eastAsia" w:ascii="仿宋_GB2312" w:hAnsi="Times New Roman" w:eastAsia="仿宋_GB2312" w:cs="宋体"/>
          <w:kern w:val="0"/>
          <w:sz w:val="32"/>
          <w:szCs w:val="32"/>
          <w:highlight w:val="none"/>
          <w:vertAlign w:val="superscript"/>
          <w:lang w:val="en-US" w:eastAsia="zh-CN" w:bidi="ar"/>
        </w:rPr>
        <w:t>3</w:t>
      </w:r>
      <w:r>
        <w:rPr>
          <w:rFonts w:hint="eastAsia" w:ascii="仿宋_GB2312" w:hAnsi="Times New Roman" w:eastAsia="仿宋_GB2312" w:cs="宋体"/>
          <w:kern w:val="0"/>
          <w:sz w:val="32"/>
          <w:szCs w:val="32"/>
          <w:highlight w:val="none"/>
          <w:lang w:val="en-US" w:eastAsia="zh-CN" w:bidi="ar"/>
        </w:rPr>
        <w:t>/h。根据《报告表》评价结论，该项目建设符合生态环境保护相关法律法规和政策，符合生态环境分区管控要求，在严格落实《报告表》提出的各项生态环境保护和环境风险防控措施，加强环境管理的前提下，从环境影响角度分析，项目建设可行。我局原则同意《报告表》中所列建设项目的性质、规模、地点、工艺和拟采取的环境保护对策措施。</w:t>
      </w:r>
    </w:p>
    <w:p w14:paraId="2534A0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二、项目建设和</w:t>
      </w:r>
      <w:r>
        <w:rPr>
          <w:rFonts w:hint="eastAsia" w:ascii="仿宋_GB2312" w:hAnsi="宋体" w:eastAsia="仿宋_GB2312" w:cs="仿宋_GB2312"/>
          <w:kern w:val="2"/>
          <w:sz w:val="32"/>
          <w:szCs w:val="32"/>
          <w:highlight w:val="none"/>
          <w:lang w:val="en-US" w:eastAsia="zh-CN" w:bidi="ar"/>
        </w:rPr>
        <w:t>生产管理过程</w:t>
      </w:r>
      <w:r>
        <w:rPr>
          <w:rFonts w:hint="eastAsia" w:ascii="仿宋_GB2312" w:hAnsi="Times New Roman" w:eastAsia="仿宋_GB2312" w:cs="宋体"/>
          <w:kern w:val="0"/>
          <w:sz w:val="32"/>
          <w:szCs w:val="32"/>
          <w:highlight w:val="none"/>
          <w:lang w:val="en-US" w:eastAsia="zh-CN" w:bidi="ar"/>
        </w:rPr>
        <w:t>中，应认真落实《报告表》提出的各项生态环境保护措施和要求，采取严格有效的污染防治、环境风险防控措施，确保各类污染物达标排放，环境风险有效防控。着重做好以下工作：</w:t>
      </w:r>
    </w:p>
    <w:p w14:paraId="1DD66D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一）加强对各类废气的控制、收集与处理，最大程度减少废气的无组织排放。氧化物仓顶废气经除尘处理后由排气筒引至不低于33米高空排放，酸再生废气及酸罐呼吸废气经洗涤净化和湿式电除雾处理后，通过排气筒引至不低于33米高空排放。项目有组织排放废气中，二氧化硫、氮氧化物排放执行《轧钢工业大气污染物排放标准》（GB28665-2012）修改单中“其他热处理炉”标准限值；氯化氢、氟化物和颗粒物排放执行《轧钢工业大气污染物排放标准》（GB28665-2012）表2排放限值；镍及其化合物、铬及其化合物排放参照执行《无机化学工业污染物排放标准》（GB31573-2015）表3排放限值。酸再生设施无组织监控点氯化氢、颗粒物排放执行《轧钢工业大气污染物排放标准》（GB28665-2012）表4大气污染物无组织排放限值；厂界颗粒物、氯化氢、氟化物无组织排放执行《大气污染物综合排放标准》（GB16297-1996）表2周界外浓度最高点标准。</w:t>
      </w:r>
    </w:p>
    <w:p w14:paraId="0B33BF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根据《报告表》评价结论，项目环境防护距离为氧化物仓外50米，在此环境防护范围内不得有居民区、学校、医院等环境敏感目标。你司应将环境防护距离控制要求及时报告当地政府和建设规划部门，并配合做好规划用地控制工作。</w:t>
      </w:r>
    </w:p>
    <w:p w14:paraId="277659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（二）项目各类生产废水均排入厂内已建废水处理站处理后回用于生产，不外排。生活污水经处理达到《污水综合排放标准》（GB8978-1996）表4三级标准限值后，排入市政污水管网纳入长乐城</w:t>
      </w:r>
      <w:bookmarkStart w:id="0" w:name="_GoBack"/>
      <w:bookmarkEnd w:id="0"/>
      <w:r>
        <w:rPr>
          <w:rFonts w:hint="eastAsia" w:ascii="仿宋_GB2312" w:hAnsi="Times New Roman" w:eastAsia="仿宋_GB2312" w:cs="宋体"/>
          <w:kern w:val="0"/>
          <w:sz w:val="32"/>
          <w:szCs w:val="32"/>
          <w:highlight w:val="none"/>
          <w:lang w:val="en-US" w:eastAsia="zh-CN" w:bidi="ar"/>
        </w:rPr>
        <w:t>区污水处理厂集中处理。</w:t>
      </w:r>
    </w:p>
    <w:p w14:paraId="285711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（三）优先选用低噪声设备，对高噪声污染源采取减振、隔声、降噪措施，厂界噪声排放执行《工业企业厂界环境噪声排放标准》（GB12348-2008）3类标准。</w:t>
      </w:r>
    </w:p>
    <w:p w14:paraId="566491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金属氧化物、布袋除尘灰、酸泥等危险废物分类暂存于厂区危废仓库内，并委托有资质单位收集处置。危险废物贮存执行《危险废物贮存污染控制标准》（GB18597-2023）要求，转移管理执行《危险废物转移管理办法》（部令第23号）相关规定。应按相关技术规范及《报告表》要求严格落实分区防渗措施，并加强防渗设施的日常维护。落实土壤和地下水监测制度，防止土壤及地下水污染。</w:t>
      </w:r>
    </w:p>
    <w:p w14:paraId="59DFBD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项目事故废水依托厂区已建事故应急池收集，应配备完善的事故废水拦截、导流、收集设施，事故废水应作为危险废物委托有资质单位转运处理。你司应健全和完善企业的环保管理制度，落实事故应急处置和风险防范措施。及时编制企业突发环境事件应急预案，并与地方政府建立应急联动机制。</w:t>
      </w:r>
    </w:p>
    <w:p w14:paraId="58C616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三、本项目新增主要污染物排放总量控制要求为：二氧化硫0.36吨/年、氮氧化物2.82吨/年。</w:t>
      </w:r>
      <w:r>
        <w:rPr>
          <w:rFonts w:hint="eastAsia" w:ascii="仿宋_GB2312" w:hAnsi="Times New Roman" w:eastAsia="仿宋_GB2312" w:cs="宋体"/>
          <w:strike w:val="0"/>
          <w:dstrike w:val="0"/>
          <w:kern w:val="0"/>
          <w:sz w:val="32"/>
          <w:szCs w:val="32"/>
          <w:highlight w:val="none"/>
          <w:lang w:val="en-US" w:eastAsia="zh-CN" w:bidi="ar"/>
        </w:rPr>
        <w:t>所需的主要污染物排放总量指标应在项目投产前通过排污权交易获得。项目改扩建后全厂主要污染物排放总量控制要求为:</w:t>
      </w:r>
      <w:r>
        <w:rPr>
          <w:rFonts w:hint="eastAsia" w:ascii="仿宋_GB2312" w:hAnsi="Times New Roman" w:eastAsia="仿宋_GB2312" w:cs="宋体"/>
          <w:kern w:val="0"/>
          <w:sz w:val="32"/>
          <w:szCs w:val="32"/>
          <w:highlight w:val="none"/>
          <w:lang w:val="en-US" w:eastAsia="zh-CN" w:bidi="ar"/>
        </w:rPr>
        <w:t>二氧化硫54.36吨/年、氮氧化物110.82吨/年。</w:t>
      </w:r>
    </w:p>
    <w:p w14:paraId="06AE66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报告表》批准后，如建设项目的性质、规模、地点、采用的生产工艺或者防治污染、防止生态破坏的措施发生重大变动的，应当依法重新报批项目环评。《报告表》自批准之日起满5年，项目方开工建设的，其环评文件应当依法报我局重新审核。</w:t>
      </w:r>
    </w:p>
    <w:p w14:paraId="37C4D1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项目建设应严格执行环境保护“三同时”制度，投入生产并产生实际排污行为之前，你司应认真梳理并确认各项环境保护措施落实，依法申领排污许可证并按证排污。项目投入生产后，应依法组织开展竣工环保自主验收。</w:t>
      </w:r>
    </w:p>
    <w:p w14:paraId="7724D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eastAsia="仿宋_GB2312" w:cs="宋体"/>
          <w:kern w:val="0"/>
          <w:sz w:val="32"/>
          <w:szCs w:val="32"/>
          <w:highlight w:val="none"/>
          <w:lang w:val="en-US"/>
        </w:rPr>
      </w:pPr>
      <w:r>
        <w:rPr>
          <w:rFonts w:hint="eastAsia" w:ascii="仿宋_GB2312" w:hAnsi="Times New Roman" w:eastAsia="仿宋_GB2312" w:cs="宋体"/>
          <w:kern w:val="0"/>
          <w:sz w:val="32"/>
          <w:szCs w:val="32"/>
          <w:highlight w:val="none"/>
          <w:lang w:val="en-US" w:eastAsia="zh-CN" w:bidi="ar"/>
        </w:rPr>
        <w:t>六、我局委托福州市生态环境保护综合执法支队开展该项目环保“三同时”监督检查，由福州市长乐生态环境局负责该项目日常环保监督管理工作。</w:t>
      </w:r>
    </w:p>
    <w:p w14:paraId="08C779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_GB2312" w:eastAsia="仿宋_GB2312" w:cs="宋体"/>
          <w:kern w:val="0"/>
          <w:sz w:val="32"/>
          <w:szCs w:val="32"/>
          <w:highlight w:val="yellow"/>
          <w:lang w:val="en-US"/>
        </w:rPr>
      </w:pPr>
    </w:p>
    <w:p w14:paraId="1743B426">
      <w:pPr>
        <w:pStyle w:val="5"/>
        <w:keepNext w:val="0"/>
        <w:keepLines w:val="0"/>
        <w:pageBreakBefore w:val="0"/>
        <w:widowControl/>
        <w:kinsoku/>
        <w:wordWrap/>
        <w:overflowPunct/>
        <w:topLinePunct w:val="0"/>
        <w:autoSpaceDE/>
        <w:autoSpaceDN/>
        <w:bidi w:val="0"/>
        <w:adjustRightInd/>
        <w:snapToGrid w:val="0"/>
        <w:spacing w:line="520" w:lineRule="exact"/>
        <w:ind w:right="1170" w:rightChars="557"/>
        <w:jc w:val="right"/>
        <w:textAlignment w:val="auto"/>
        <w:rPr>
          <w:rFonts w:hint="eastAsia" w:ascii="仿宋_GB2312" w:eastAsia="仿宋_GB2312" w:cs="仿宋_GB2312"/>
          <w:highlight w:val="none"/>
          <w:lang w:val="en-US"/>
        </w:rPr>
      </w:pPr>
      <w:r>
        <w:rPr>
          <w:rFonts w:hint="eastAsia" w:ascii="仿宋_GB2312" w:eastAsia="仿宋_GB2312" w:cs="仿宋_GB2312"/>
          <w:highlight w:val="none"/>
          <w:lang w:eastAsia="zh-CN"/>
        </w:rPr>
        <w:t>福州市生态环境局</w:t>
      </w:r>
    </w:p>
    <w:p w14:paraId="681BECD2">
      <w:pPr>
        <w:pStyle w:val="5"/>
        <w:keepNext w:val="0"/>
        <w:keepLines w:val="0"/>
        <w:pageBreakBefore w:val="0"/>
        <w:widowControl/>
        <w:kinsoku/>
        <w:wordWrap/>
        <w:overflowPunct/>
        <w:topLinePunct w:val="0"/>
        <w:autoSpaceDE/>
        <w:autoSpaceDN/>
        <w:bidi w:val="0"/>
        <w:adjustRightInd/>
        <w:snapToGrid w:val="0"/>
        <w:spacing w:line="520" w:lineRule="exact"/>
        <w:ind w:right="1170" w:rightChars="557"/>
        <w:jc w:val="right"/>
        <w:textAlignment w:val="auto"/>
        <w:rPr>
          <w:rFonts w:hint="eastAsia" w:ascii="仿宋_GB2312" w:eastAsia="仿宋_GB2312" w:cs="仿宋_GB2312"/>
          <w:highlight w:val="none"/>
          <w:lang w:eastAsia="zh-CN"/>
        </w:rPr>
      </w:pPr>
      <w:r>
        <w:rPr>
          <w:rFonts w:hint="eastAsia" w:ascii="仿宋_GB2312" w:eastAsia="仿宋_GB2312" w:cs="仿宋_GB2312"/>
          <w:highlight w:val="none"/>
          <w:lang w:val="en-US"/>
        </w:rPr>
        <w:t>20</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年</w:t>
      </w:r>
      <w:r>
        <w:rPr>
          <w:rFonts w:hint="eastAsia" w:ascii="仿宋_GB2312" w:eastAsia="仿宋_GB2312" w:cs="仿宋_GB2312"/>
          <w:highlight w:val="none"/>
          <w:lang w:val="en-US" w:eastAsia="zh-CN"/>
        </w:rPr>
        <w:t>4</w:t>
      </w:r>
      <w:r>
        <w:rPr>
          <w:rFonts w:hint="eastAsia" w:ascii="仿宋_GB2312" w:eastAsia="仿宋_GB2312" w:cs="仿宋_GB2312"/>
          <w:highlight w:val="none"/>
          <w:lang w:eastAsia="zh-CN"/>
        </w:rPr>
        <w:t>月</w:t>
      </w:r>
      <w:r>
        <w:rPr>
          <w:rFonts w:hint="eastAsia" w:ascii="仿宋_GB2312" w:eastAsia="仿宋_GB2312" w:cs="仿宋_GB2312"/>
          <w:highlight w:val="none"/>
          <w:lang w:val="en-US" w:eastAsia="zh-CN"/>
        </w:rPr>
        <w:t>23</w:t>
      </w:r>
      <w:r>
        <w:rPr>
          <w:rFonts w:hint="eastAsia" w:ascii="仿宋_GB2312" w:eastAsia="仿宋_GB2312" w:cs="仿宋_GB2312"/>
          <w:highlight w:val="none"/>
          <w:lang w:eastAsia="zh-CN"/>
        </w:rPr>
        <w:t>日</w:t>
      </w:r>
    </w:p>
    <w:p w14:paraId="28EF1B1A">
      <w:pPr>
        <w:rPr>
          <w:rFonts w:hint="eastAsia" w:ascii="仿宋_GB2312" w:eastAsia="仿宋_GB2312" w:cs="仿宋_GB2312"/>
          <w:highlight w:val="yellow"/>
          <w:lang w:eastAsia="zh-CN"/>
        </w:rPr>
      </w:pPr>
    </w:p>
    <w:p w14:paraId="535509F7">
      <w:pPr>
        <w:pStyle w:val="2"/>
        <w:rPr>
          <w:rFonts w:hint="eastAsia" w:ascii="仿宋_GB2312" w:eastAsia="仿宋_GB2312" w:cs="仿宋_GB2312"/>
          <w:highlight w:val="yellow"/>
          <w:lang w:eastAsia="zh-CN"/>
        </w:rPr>
      </w:pPr>
    </w:p>
    <w:p w14:paraId="01F58580">
      <w:pPr>
        <w:pStyle w:val="2"/>
        <w:rPr>
          <w:rFonts w:hint="eastAsia" w:ascii="仿宋_GB2312" w:eastAsia="仿宋_GB2312" w:cs="仿宋_GB2312"/>
          <w:highlight w:val="yellow"/>
          <w:lang w:eastAsia="zh-CN"/>
        </w:rPr>
      </w:pPr>
    </w:p>
    <w:p w14:paraId="3731EBCE">
      <w:pPr>
        <w:rPr>
          <w:rFonts w:hint="eastAsia" w:ascii="仿宋_GB2312" w:eastAsia="仿宋_GB2312" w:cs="仿宋_GB2312"/>
          <w:highlight w:val="yellow"/>
          <w:lang w:eastAsia="zh-CN"/>
        </w:rPr>
      </w:pPr>
    </w:p>
    <w:p w14:paraId="595FFE03">
      <w:pPr>
        <w:pStyle w:val="2"/>
        <w:rPr>
          <w:rFonts w:hint="eastAsia" w:ascii="仿宋_GB2312" w:eastAsia="仿宋_GB2312" w:cs="仿宋_GB2312"/>
          <w:highlight w:val="yellow"/>
          <w:lang w:eastAsia="zh-CN"/>
        </w:rPr>
      </w:pPr>
    </w:p>
    <w:p w14:paraId="542F3393">
      <w:pPr>
        <w:rPr>
          <w:rFonts w:hint="eastAsia" w:ascii="仿宋_GB2312" w:eastAsia="仿宋_GB2312" w:cs="仿宋_GB2312"/>
          <w:highlight w:val="yellow"/>
          <w:lang w:eastAsia="zh-CN"/>
        </w:rPr>
      </w:pPr>
    </w:p>
    <w:p w14:paraId="30DDB332">
      <w:pPr>
        <w:rPr>
          <w:rFonts w:hint="eastAsia" w:ascii="仿宋_GB2312" w:eastAsia="仿宋_GB2312" w:cs="仿宋_GB2312"/>
          <w:highlight w:val="yellow"/>
          <w:lang w:eastAsia="zh-CN"/>
        </w:rPr>
      </w:pPr>
    </w:p>
    <w:p w14:paraId="1B079340">
      <w:pPr>
        <w:pStyle w:val="2"/>
        <w:rPr>
          <w:rFonts w:hint="eastAsia" w:ascii="仿宋_GB2312" w:eastAsia="仿宋_GB2312" w:cs="仿宋_GB2312"/>
          <w:highlight w:val="yellow"/>
          <w:lang w:eastAsia="zh-CN"/>
        </w:rPr>
      </w:pPr>
    </w:p>
    <w:p w14:paraId="66436701">
      <w:pPr>
        <w:rPr>
          <w:rFonts w:hint="eastAsia"/>
          <w:lang w:eastAsia="zh-CN"/>
        </w:rPr>
      </w:pPr>
    </w:p>
    <w:p w14:paraId="0BCDF1C4">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highlight w:val="none"/>
          <w:lang w:val="en-US"/>
        </w:rPr>
      </w:pPr>
    </w:p>
    <w:tbl>
      <w:tblPr>
        <w:tblStyle w:val="9"/>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5"/>
        <w:gridCol w:w="3885"/>
        <w:gridCol w:w="3675"/>
      </w:tblGrid>
      <w:tr w14:paraId="2058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55" w:type="dxa"/>
            <w:tcBorders>
              <w:top w:val="single" w:color="auto" w:sz="4" w:space="0"/>
              <w:left w:val="nil"/>
              <w:bottom w:val="single" w:color="auto" w:sz="4" w:space="0"/>
              <w:right w:val="nil"/>
            </w:tcBorders>
            <w:shd w:val="clear" w:color="auto" w:fill="auto"/>
            <w:vAlign w:val="center"/>
          </w:tcPr>
          <w:p w14:paraId="650E2176">
            <w:pPr>
              <w:keepNext w:val="0"/>
              <w:keepLines w:val="0"/>
              <w:widowControl w:val="0"/>
              <w:suppressLineNumbers w:val="0"/>
              <w:tabs>
                <w:tab w:val="left" w:pos="3885"/>
              </w:tabs>
              <w:spacing w:before="0" w:beforeAutospacing="0" w:after="0" w:afterAutospacing="0"/>
              <w:ind w:left="0" w:right="0" w:firstLine="179" w:firstLineChars="64"/>
              <w:jc w:val="both"/>
              <w:rPr>
                <w:rFonts w:hint="eastAsia" w:ascii="仿宋_GB2312" w:eastAsia="仿宋_GB2312" w:cs="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抄送：</w:t>
            </w:r>
          </w:p>
        </w:tc>
        <w:tc>
          <w:tcPr>
            <w:tcW w:w="7560" w:type="dxa"/>
            <w:gridSpan w:val="2"/>
            <w:tcBorders>
              <w:top w:val="single" w:color="auto" w:sz="4" w:space="0"/>
              <w:left w:val="nil"/>
              <w:bottom w:val="single" w:color="auto" w:sz="4" w:space="0"/>
              <w:right w:val="nil"/>
            </w:tcBorders>
            <w:shd w:val="clear" w:color="auto" w:fill="auto"/>
            <w:vAlign w:val="center"/>
          </w:tcPr>
          <w:p w14:paraId="16E9F528">
            <w:pPr>
              <w:keepNext w:val="0"/>
              <w:keepLines w:val="0"/>
              <w:widowControl w:val="0"/>
              <w:suppressLineNumbers w:val="0"/>
              <w:tabs>
                <w:tab w:val="left" w:pos="3885"/>
              </w:tabs>
              <w:spacing w:before="0" w:beforeAutospacing="0" w:after="0" w:afterAutospacing="0"/>
              <w:ind w:left="0" w:right="0"/>
              <w:jc w:val="both"/>
              <w:rPr>
                <w:rFonts w:hint="eastAsia" w:ascii="仿宋_GB2312" w:eastAsia="仿宋_GB2312" w:cs="仿宋_GB2312"/>
                <w:sz w:val="28"/>
                <w:szCs w:val="28"/>
                <w:highlight w:val="none"/>
                <w:lang w:val="en-US"/>
              </w:rPr>
            </w:pPr>
            <w:r>
              <w:rPr>
                <w:rFonts w:hint="eastAsia" w:ascii="仿宋_GB2312" w:hAnsi="Times New Roman" w:eastAsia="仿宋_GB2312" w:cs="仿宋_GB2312"/>
                <w:kern w:val="2"/>
                <w:sz w:val="28"/>
                <w:szCs w:val="20"/>
                <w:highlight w:val="none"/>
                <w:lang w:val="en-US" w:eastAsia="zh-CN" w:bidi="ar"/>
              </w:rPr>
              <w:t>局大气处、土处，福州市生态环境保护综合执法支队，福州市长乐生态环境局，福建省冶金工业设计院有限公司。</w:t>
            </w:r>
          </w:p>
        </w:tc>
      </w:tr>
      <w:tr w14:paraId="680F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40" w:type="dxa"/>
            <w:gridSpan w:val="2"/>
            <w:tcBorders>
              <w:top w:val="single" w:color="auto" w:sz="4" w:space="0"/>
              <w:left w:val="nil"/>
              <w:bottom w:val="single" w:color="auto" w:sz="4" w:space="0"/>
              <w:right w:val="nil"/>
            </w:tcBorders>
            <w:shd w:val="clear" w:color="auto" w:fill="auto"/>
            <w:vAlign w:val="center"/>
          </w:tcPr>
          <w:p w14:paraId="1EFE1F86">
            <w:pPr>
              <w:keepNext w:val="0"/>
              <w:keepLines w:val="0"/>
              <w:widowControl w:val="0"/>
              <w:suppressLineNumbers w:val="0"/>
              <w:tabs>
                <w:tab w:val="left" w:pos="3885"/>
              </w:tabs>
              <w:spacing w:before="0" w:beforeAutospacing="0" w:after="0" w:afterAutospacing="0"/>
              <w:ind w:left="0" w:right="0" w:firstLine="179" w:firstLineChars="64"/>
              <w:jc w:val="both"/>
              <w:rPr>
                <w:rFonts w:eastAsia="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福州市生态环境局</w:t>
            </w:r>
          </w:p>
        </w:tc>
        <w:tc>
          <w:tcPr>
            <w:tcW w:w="3675" w:type="dxa"/>
            <w:tcBorders>
              <w:top w:val="single" w:color="auto" w:sz="4" w:space="0"/>
              <w:left w:val="nil"/>
              <w:bottom w:val="single" w:color="auto" w:sz="4" w:space="0"/>
              <w:right w:val="nil"/>
            </w:tcBorders>
            <w:shd w:val="clear" w:color="auto" w:fill="auto"/>
            <w:vAlign w:val="center"/>
          </w:tcPr>
          <w:p w14:paraId="35AC3E08">
            <w:pPr>
              <w:keepNext w:val="0"/>
              <w:keepLines w:val="0"/>
              <w:widowControl w:val="0"/>
              <w:suppressLineNumbers w:val="0"/>
              <w:tabs>
                <w:tab w:val="left" w:pos="3882"/>
                <w:tab w:val="left" w:pos="3987"/>
              </w:tabs>
              <w:spacing w:before="0" w:beforeAutospacing="0" w:after="0" w:afterAutospacing="0"/>
              <w:ind w:left="0" w:right="311" w:rightChars="148"/>
              <w:jc w:val="right"/>
              <w:rPr>
                <w:rFonts w:eastAsia="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2025年4月23日印发</w:t>
            </w:r>
          </w:p>
        </w:tc>
      </w:tr>
      <w:tr w14:paraId="4AE6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55" w:type="dxa"/>
            <w:tcBorders>
              <w:top w:val="nil"/>
              <w:left w:val="nil"/>
              <w:bottom w:val="nil"/>
              <w:right w:val="nil"/>
            </w:tcBorders>
            <w:shd w:val="clear" w:color="auto" w:fill="auto"/>
            <w:vAlign w:val="center"/>
          </w:tcPr>
          <w:p w14:paraId="55FAE8CE">
            <w:pPr>
              <w:rPr>
                <w:rFonts w:hint="eastAsia" w:ascii="宋体"/>
                <w:sz w:val="24"/>
                <w:szCs w:val="24"/>
                <w:highlight w:val="none"/>
              </w:rPr>
            </w:pPr>
          </w:p>
        </w:tc>
        <w:tc>
          <w:tcPr>
            <w:tcW w:w="3885" w:type="dxa"/>
            <w:tcBorders>
              <w:top w:val="nil"/>
              <w:left w:val="nil"/>
              <w:bottom w:val="nil"/>
              <w:right w:val="nil"/>
            </w:tcBorders>
            <w:shd w:val="clear" w:color="auto" w:fill="auto"/>
            <w:vAlign w:val="center"/>
          </w:tcPr>
          <w:p w14:paraId="52495348">
            <w:pPr>
              <w:rPr>
                <w:rFonts w:hint="eastAsia" w:ascii="宋体"/>
                <w:sz w:val="24"/>
                <w:szCs w:val="24"/>
                <w:highlight w:val="none"/>
              </w:rPr>
            </w:pPr>
          </w:p>
        </w:tc>
        <w:tc>
          <w:tcPr>
            <w:tcW w:w="3675" w:type="dxa"/>
            <w:tcBorders>
              <w:top w:val="nil"/>
              <w:left w:val="nil"/>
              <w:bottom w:val="nil"/>
              <w:right w:val="nil"/>
            </w:tcBorders>
            <w:shd w:val="clear" w:color="auto" w:fill="auto"/>
            <w:vAlign w:val="center"/>
          </w:tcPr>
          <w:p w14:paraId="00F06EBD">
            <w:pPr>
              <w:rPr>
                <w:rFonts w:hint="eastAsia" w:ascii="宋体"/>
                <w:sz w:val="24"/>
                <w:szCs w:val="24"/>
                <w:highlight w:val="none"/>
              </w:rPr>
            </w:pPr>
          </w:p>
        </w:tc>
      </w:tr>
    </w:tbl>
    <w:p w14:paraId="484DF080">
      <w:pPr>
        <w:rPr>
          <w:highlight w:val="none"/>
        </w:rPr>
      </w:pPr>
    </w:p>
    <w:sectPr>
      <w:footerReference r:id="rId3" w:type="default"/>
      <w:pgSz w:w="11906" w:h="16838"/>
      <w:pgMar w:top="1701"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30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CE73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ACE734">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2A7F762B"/>
    <w:rsid w:val="00D055EE"/>
    <w:rsid w:val="01DD6FC1"/>
    <w:rsid w:val="04B97894"/>
    <w:rsid w:val="076B63F8"/>
    <w:rsid w:val="07B76A03"/>
    <w:rsid w:val="08877123"/>
    <w:rsid w:val="09194B83"/>
    <w:rsid w:val="097912D2"/>
    <w:rsid w:val="0A0259D4"/>
    <w:rsid w:val="0A537496"/>
    <w:rsid w:val="0A7B2C42"/>
    <w:rsid w:val="0D9C4648"/>
    <w:rsid w:val="0EBC0E2F"/>
    <w:rsid w:val="0FBE4740"/>
    <w:rsid w:val="123E696C"/>
    <w:rsid w:val="12D0457D"/>
    <w:rsid w:val="12D23BBF"/>
    <w:rsid w:val="1339568F"/>
    <w:rsid w:val="15B63938"/>
    <w:rsid w:val="16C049E6"/>
    <w:rsid w:val="17376763"/>
    <w:rsid w:val="17C02571"/>
    <w:rsid w:val="185C0C0F"/>
    <w:rsid w:val="19F13A89"/>
    <w:rsid w:val="1A07082D"/>
    <w:rsid w:val="1A2D6D57"/>
    <w:rsid w:val="20835F2C"/>
    <w:rsid w:val="208F6B19"/>
    <w:rsid w:val="213F3844"/>
    <w:rsid w:val="219278A5"/>
    <w:rsid w:val="23D1267C"/>
    <w:rsid w:val="23ED5533"/>
    <w:rsid w:val="264F7B2D"/>
    <w:rsid w:val="26F17F87"/>
    <w:rsid w:val="26FA4A88"/>
    <w:rsid w:val="28A86FC8"/>
    <w:rsid w:val="2A021261"/>
    <w:rsid w:val="2A7F762B"/>
    <w:rsid w:val="2C7B0035"/>
    <w:rsid w:val="2CAD0908"/>
    <w:rsid w:val="2CB668AB"/>
    <w:rsid w:val="2E214D74"/>
    <w:rsid w:val="2F652F3C"/>
    <w:rsid w:val="306223AB"/>
    <w:rsid w:val="31DF7D29"/>
    <w:rsid w:val="32432891"/>
    <w:rsid w:val="344B15E7"/>
    <w:rsid w:val="34565CE1"/>
    <w:rsid w:val="34B92A27"/>
    <w:rsid w:val="353A30CF"/>
    <w:rsid w:val="396A64FB"/>
    <w:rsid w:val="396B7625"/>
    <w:rsid w:val="3B0F3019"/>
    <w:rsid w:val="3C461732"/>
    <w:rsid w:val="3DB945F5"/>
    <w:rsid w:val="3F542FD5"/>
    <w:rsid w:val="402C102B"/>
    <w:rsid w:val="41976E73"/>
    <w:rsid w:val="438B4B5B"/>
    <w:rsid w:val="43CA10AF"/>
    <w:rsid w:val="45314B84"/>
    <w:rsid w:val="45F92FCA"/>
    <w:rsid w:val="47C411B6"/>
    <w:rsid w:val="49014440"/>
    <w:rsid w:val="49641AB4"/>
    <w:rsid w:val="4A69668E"/>
    <w:rsid w:val="4A810DC1"/>
    <w:rsid w:val="4B2126A9"/>
    <w:rsid w:val="4B456184"/>
    <w:rsid w:val="4B997BD4"/>
    <w:rsid w:val="4BC03622"/>
    <w:rsid w:val="4C547C35"/>
    <w:rsid w:val="4CD339FE"/>
    <w:rsid w:val="4DB67CDD"/>
    <w:rsid w:val="4E576091"/>
    <w:rsid w:val="4ED41923"/>
    <w:rsid w:val="5328504E"/>
    <w:rsid w:val="53325C92"/>
    <w:rsid w:val="533A7710"/>
    <w:rsid w:val="55473069"/>
    <w:rsid w:val="56DD30D8"/>
    <w:rsid w:val="5773682D"/>
    <w:rsid w:val="59790483"/>
    <w:rsid w:val="5A626A26"/>
    <w:rsid w:val="5AB30E80"/>
    <w:rsid w:val="5BC855A2"/>
    <w:rsid w:val="5CB956CE"/>
    <w:rsid w:val="5D8466D6"/>
    <w:rsid w:val="5DF8536F"/>
    <w:rsid w:val="61464082"/>
    <w:rsid w:val="61AC3705"/>
    <w:rsid w:val="61BD2347"/>
    <w:rsid w:val="64856EDB"/>
    <w:rsid w:val="674F436D"/>
    <w:rsid w:val="69AA484A"/>
    <w:rsid w:val="6BA34C13"/>
    <w:rsid w:val="6C2A2F12"/>
    <w:rsid w:val="6CA5599E"/>
    <w:rsid w:val="6CC830E5"/>
    <w:rsid w:val="6D0A06B5"/>
    <w:rsid w:val="6D8945FB"/>
    <w:rsid w:val="6E6E2E44"/>
    <w:rsid w:val="6E8B3F62"/>
    <w:rsid w:val="6F460731"/>
    <w:rsid w:val="731146F1"/>
    <w:rsid w:val="747F4DDA"/>
    <w:rsid w:val="749C56FE"/>
    <w:rsid w:val="758F2C99"/>
    <w:rsid w:val="75B546C3"/>
    <w:rsid w:val="75F77103"/>
    <w:rsid w:val="76CA152F"/>
    <w:rsid w:val="783B4C00"/>
    <w:rsid w:val="78940811"/>
    <w:rsid w:val="78BA7585"/>
    <w:rsid w:val="7CC80452"/>
    <w:rsid w:val="7CDA4005"/>
    <w:rsid w:val="7DC97B37"/>
    <w:rsid w:val="7F2E1CFF"/>
    <w:rsid w:val="7FA07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楷体_GB2312" w:cs="Times New Roman"/>
      <w:kern w:val="2"/>
      <w:sz w:val="32"/>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spacing w:after="0" w:line="420" w:lineRule="exact"/>
      <w:ind w:left="0" w:leftChars="0" w:firstLine="420"/>
    </w:pPr>
    <w:rPr>
      <w:rFonts w:ascii="仿宋_GB2312" w:eastAsia="Times New Roman"/>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5文章(治) Char"/>
    <w:basedOn w:val="11"/>
    <w:qFormat/>
    <w:uiPriority w:val="0"/>
    <w:rPr>
      <w:rFonts w:hint="eastAsia" w:ascii="楷体_GB2312" w:eastAsia="楷体_GB2312" w:cs="楷体_GB2312"/>
      <w:kern w:val="2"/>
      <w:sz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2035</Characters>
  <Lines>0</Lines>
  <Paragraphs>0</Paragraphs>
  <TotalTime>3072</TotalTime>
  <ScaleCrop>false</ScaleCrop>
  <LinksUpToDate>false</LinksUpToDate>
  <CharactersWithSpaces>2035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2016-03-09T02:21:00Z</dcterms:created>
  <dc:creator>Yuri</dc:creator>
  <cp:lastModifiedBy>ccw</cp:lastModifiedBy>
  <cp:lastPrinted>2024-10-21T03:56:00Z</cp:lastPrinted>
  <dcterms:modified xsi:type="dcterms:W3CDTF">2025-04-16T06:38:04Z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07A162A2473042D587B95B9EDB6B78DC_12</vt:lpwstr>
  </property>
  <property fmtid="{D5CDD505-2E9C-101B-9397-08002B2CF9AE}" pid="4" name="KSOTemplateDocerSaveRecord">
    <vt:lpwstr>eyJoZGlkIjoiMDkxNDM5NTI3YTI2MzU0NTA3MzliODM2N2FlYTc2NjYiLCJ1c2VySWQiOiIzMzQ3ODA2NTEifQ==</vt:lpwstr>
  </property>
</Properties>
</file>