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C9211D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C9211D"/>
          <w:spacing w:val="0"/>
          <w:sz w:val="44"/>
          <w:szCs w:val="44"/>
        </w:rPr>
        <w:t>关于《福建省历史文化名城名镇名村保护条例(草案)》修改情况的报告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（</w:t>
      </w:r>
      <w:r>
        <w:rPr>
          <w:rFonts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2016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年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11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月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29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日在福建省第十二届人民代表大会常务委员会第二十六次会议上）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1606" w:firstLineChars="500"/>
        <w:jc w:val="both"/>
        <w:textAlignment w:val="auto"/>
        <w:rPr>
          <w:rFonts w:hint="eastAsia" w:ascii="宋体" w:hAnsi="宋体" w:eastAsia="仿宋" w:cs="宋体"/>
          <w:b/>
          <w:bCs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</w:pPr>
      <w:r>
        <w:rPr>
          <w:rFonts w:hint="eastAsia" w:ascii="宋体" w:hAnsi="宋体" w:eastAsia="仿宋" w:cs="宋体"/>
          <w:b/>
          <w:bCs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福建省人大法制委员会委员      朱  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1606" w:firstLineChars="500"/>
        <w:jc w:val="both"/>
        <w:textAlignment w:val="auto"/>
        <w:rPr>
          <w:rFonts w:hint="eastAsia" w:ascii="宋体" w:hAnsi="宋体" w:eastAsia="仿宋" w:cs="宋体"/>
          <w:b/>
          <w:bCs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主任、各位副主任、秘书长、各位委员：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2016年</w:t>
      </w:r>
      <w:r>
        <w:rPr>
          <w:rFonts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9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月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29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日，省十二届人大常委会第二十五次会议分组审议了《福建省历史文化名城名镇名村保护条例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(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草案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)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》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(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以下简称草案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)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。法工委根据常委会组成人员的审议意见，会同有关部门对草案进行了修改，在省人大网站征求公众意见，征求基层立法联系点意见，召开委员和部门论证会，并组织调研组赴宁德、福安开展立法调研。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11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月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8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日，省十二届人大法制委员会第四十八次全体会议进行统一审议，形成了提交本次会议审议的《福建省历史文化名城名镇名村传统村落和历史建筑保护条例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(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草案修改稿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)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》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(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以下简称草案修改稿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)</w:t>
      </w: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。现将主要修改情况报告如下：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一、关于法规名称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有的委员提出，法规名称与适用范围不一致，条例不仅规定历史文化名城、名镇、名村，还对传统村落和历史建筑予以规范。考虑到实践中，传统村落和历史建筑在我省大量存在，需要地方立法一体保护，为此，建议保持条例适用范围不变，将法规名称修改为“福建省历史文化名城名镇名村传统村落和历史建筑保护条例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二、关于文化传承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有的委员提出，条例既要加强物质文化遗产的保护，也要重视非物质文化遗产的传承和发展。为此，建议草案增加规定，要求尊重原住居民生活形态和传统习惯，鼓励和支持非物质文化遗产的传承、传播和人才培养。(草案修改稿第二十四条、第二十七条、第三十四条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三、关于原住居民权益保护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有的委员提出，原住居民的生产生活方式在保护和开发利用中受到影响，条例应当注重保障原住居民的权益。为此，建议草案增加规定，因保护需要影响原住居民生产生活或者导致其权益受损的，应当予以安排，通过签订保护协议约定对历史建筑的保护义务和享受权利等事项。(草案修改稿第二十五条、第四十五条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四、关于开发利用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有的委员提出，条例要处理好开发利用与保护的关系，树立保护优先的理念。为此，建议草案增加规定，禁止以保护利用为由将原住居民整体迁出由商业企业统一承包经营，开发旅游项目的，应当进行可行性论证。(草案修改稿第三十三条、第三十五条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五、关于群众性保护组织和志愿者服务队伍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有的委员提出，历史文化街区、名镇、名村和传统村落与当地民众融为一体，应当调动原住居民保护积极性，同时发挥社会力量参与保护。为此，建议草案增加规定，支持建立群众性保护组织，自觉开展历史遗存保护、环境卫生整治、道路建设等保护工作，鼓励建立志愿者服务队伍，开展相关宣传、研究和保护工作。(草案修改稿第三十六条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六、关于监督检查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根据委员审议意见和环城工委修改建议，建议草案增加直接确定省历史文化名城、历史文化街区的程序规定。(草案修改稿第四十八条</w:t>
      </w:r>
      <w:r>
        <w:rPr>
          <w:rFonts w:hint="default" w:ascii="Calibri" w:hAnsi="Calibri" w:eastAsia="仿宋" w:cs="Calibri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此外，根据委员审议意见，将</w:t>
      </w:r>
      <w:bookmarkStart w:id="0" w:name="_GoBack"/>
      <w:bookmarkEnd w:id="0"/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草案第四章保护措施分为三节，使结构更加清晰，还对一些文字表述作了修改，条序也作了相应的调整，在此不一一说明。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sz w:val="32"/>
          <w:szCs w:val="20"/>
        </w:rPr>
      </w:pPr>
      <w:r>
        <w:rPr>
          <w:rFonts w:hint="eastAsia" w:ascii="宋体" w:hAnsi="宋体" w:eastAsia="仿宋" w:cs="宋体"/>
          <w:b w:val="0"/>
          <w:i w:val="0"/>
          <w:caps w:val="0"/>
          <w:color w:val="000000"/>
          <w:spacing w:val="0"/>
          <w:kern w:val="0"/>
          <w:sz w:val="32"/>
          <w:szCs w:val="21"/>
          <w:lang w:val="en-US" w:eastAsia="zh-CN" w:bidi="ar"/>
        </w:rPr>
        <w:t>草案修改稿和以上报告是否妥当，请予审议。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324AB"/>
    <w:rsid w:val="10A324AB"/>
    <w:rsid w:val="692738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2017-10-24T07:19:00Z</dcterms:created>
  <dc:creator>Administrator</dc:creator>
  <cp:lastModifiedBy>Hia</cp:lastModifiedBy>
  <dcterms:modified xsi:type="dcterms:W3CDTF">2017-10-27T03:28:45Z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