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F35D004">
      <w:pPr>
        <w:keepNext/>
        <w:keepLines/>
        <w:adjustRightInd w:val="0"/>
        <w:spacing w:beforeLines="100" w:afterLines="100"/>
        <w:jc w:val="center"/>
        <w:rPr>
          <w:rFonts w:cs="仿宋_GB2312"/>
          <w:kern w:val="44"/>
          <w:szCs w:val="32"/>
          <w:lang w:val="zh-CN"/>
        </w:rPr>
      </w:pPr>
    </w:p>
    <w:p w14:paraId="4179BD84">
      <w:pPr>
        <w:pStyle w:val="2"/>
        <w:rPr>
          <w:lang w:val="zh-CN"/>
        </w:rPr>
      </w:pPr>
    </w:p>
    <w:p w14:paraId="79CF6235">
      <w:pPr>
        <w:keepNext/>
        <w:keepLines/>
        <w:adjustRightInd w:val="0"/>
        <w:spacing w:beforeLines="100" w:afterLines="100" w:line="600" w:lineRule="exact"/>
        <w:jc w:val="center"/>
        <w:rPr>
          <w:rFonts w:hint="eastAsia" w:ascii="方正小标宋简体" w:hAnsi="方正小标宋简体" w:eastAsia="方正小标宋简体" w:cs="方正小标宋简体"/>
          <w:kern w:val="44"/>
          <w:sz w:val="44"/>
          <w:szCs w:val="44"/>
          <w:lang w:val="zh-CN"/>
        </w:rPr>
      </w:pPr>
      <w:r>
        <w:rPr>
          <w:rFonts w:hint="eastAsia" w:ascii="方正小标宋简体" w:hAnsi="方正小标宋简体" w:eastAsia="方正小标宋简体" w:cs="方正小标宋简体"/>
          <w:kern w:val="44"/>
          <w:sz w:val="44"/>
          <w:szCs w:val="44"/>
          <w:lang w:val="zh-CN"/>
        </w:rPr>
        <w:t>福州市“十四五”人力资源和社会保障</w:t>
      </w:r>
    </w:p>
    <w:p w14:paraId="67D658EB">
      <w:pPr>
        <w:keepNext/>
        <w:keepLines/>
        <w:adjustRightInd w:val="0"/>
        <w:spacing w:beforeLines="100" w:afterLines="100" w:line="600" w:lineRule="exact"/>
        <w:jc w:val="center"/>
        <w:rPr>
          <w:rFonts w:hint="eastAsia" w:ascii="方正小标宋简体" w:hAnsi="方正小标宋简体" w:eastAsia="方正小标宋简体" w:cs="方正小标宋简体"/>
          <w:kern w:val="44"/>
          <w:sz w:val="44"/>
          <w:szCs w:val="44"/>
          <w:lang w:val="zh-CN"/>
        </w:rPr>
      </w:pPr>
      <w:r>
        <w:rPr>
          <w:rFonts w:hint="eastAsia" w:ascii="方正小标宋简体" w:hAnsi="方正小标宋简体" w:eastAsia="方正小标宋简体" w:cs="方正小标宋简体"/>
          <w:kern w:val="44"/>
          <w:sz w:val="44"/>
          <w:szCs w:val="44"/>
          <w:lang w:val="zh-CN"/>
        </w:rPr>
        <w:t>事业发展专项规划</w:t>
      </w:r>
    </w:p>
    <w:p w14:paraId="2BCB17AB">
      <w:pPr>
        <w:rPr>
          <w:szCs w:val="32"/>
        </w:rPr>
      </w:pPr>
    </w:p>
    <w:p w14:paraId="777FBD8A">
      <w:pPr>
        <w:rPr>
          <w:szCs w:val="32"/>
        </w:rPr>
      </w:pPr>
    </w:p>
    <w:p w14:paraId="461B11BD">
      <w:pPr>
        <w:rPr>
          <w:szCs w:val="32"/>
        </w:rPr>
      </w:pPr>
    </w:p>
    <w:p w14:paraId="0DDABBBF">
      <w:pPr>
        <w:rPr>
          <w:szCs w:val="32"/>
        </w:rPr>
      </w:pPr>
    </w:p>
    <w:p w14:paraId="68408FC1">
      <w:pPr>
        <w:rPr>
          <w:szCs w:val="32"/>
        </w:rPr>
      </w:pPr>
    </w:p>
    <w:p w14:paraId="21044FB0">
      <w:pPr>
        <w:rPr>
          <w:szCs w:val="32"/>
        </w:rPr>
      </w:pPr>
    </w:p>
    <w:p w14:paraId="561363E0">
      <w:pPr>
        <w:rPr>
          <w:szCs w:val="32"/>
        </w:rPr>
      </w:pPr>
    </w:p>
    <w:p w14:paraId="79C07C3A">
      <w:pPr>
        <w:rPr>
          <w:szCs w:val="32"/>
        </w:rPr>
      </w:pPr>
    </w:p>
    <w:p w14:paraId="44EB1963">
      <w:pPr>
        <w:rPr>
          <w:szCs w:val="32"/>
        </w:rPr>
      </w:pPr>
    </w:p>
    <w:p w14:paraId="7DABF220">
      <w:pPr>
        <w:tabs>
          <w:tab w:val="right" w:leader="dot" w:pos="8306"/>
        </w:tabs>
        <w:spacing w:beforeLines="50" w:afterLines="50"/>
        <w:jc w:val="center"/>
        <w:rPr>
          <w:rFonts w:hint="eastAsia" w:ascii="黑体" w:hAnsi="黑体" w:eastAsia="黑体"/>
          <w:bCs/>
          <w:sz w:val="28"/>
          <w:szCs w:val="28"/>
        </w:rPr>
      </w:pPr>
    </w:p>
    <w:p w14:paraId="397EF8E6">
      <w:pPr>
        <w:pStyle w:val="2"/>
      </w:pPr>
    </w:p>
    <w:p w14:paraId="38B3774D">
      <w:pPr>
        <w:spacing w:beforeLines="100" w:afterLines="100" w:line="400" w:lineRule="exact"/>
        <w:jc w:val="center"/>
        <w:rPr>
          <w:rFonts w:hint="eastAsia" w:ascii="黑体" w:hAnsi="黑体" w:eastAsia="黑体"/>
          <w:bCs/>
          <w:sz w:val="28"/>
          <w:szCs w:val="28"/>
        </w:rPr>
      </w:pPr>
    </w:p>
    <w:p w14:paraId="4186FF43">
      <w:pPr>
        <w:spacing w:beforeLines="100" w:afterLines="100" w:line="400" w:lineRule="exact"/>
        <w:jc w:val="center"/>
        <w:rPr>
          <w:rFonts w:hint="eastAsia" w:ascii="黑体" w:hAnsi="黑体" w:eastAsia="黑体"/>
          <w:bCs/>
          <w:sz w:val="28"/>
          <w:szCs w:val="28"/>
        </w:rPr>
      </w:pPr>
    </w:p>
    <w:p w14:paraId="085B0AEF">
      <w:pPr>
        <w:spacing w:beforeLines="100" w:afterLines="100" w:line="400" w:lineRule="exact"/>
        <w:jc w:val="center"/>
        <w:rPr>
          <w:rFonts w:hint="eastAsia" w:ascii="黑体" w:hAnsi="黑体" w:eastAsia="黑体"/>
          <w:bCs/>
          <w:sz w:val="28"/>
          <w:szCs w:val="28"/>
        </w:rPr>
      </w:pPr>
    </w:p>
    <w:p w14:paraId="798F6ED5">
      <w:pPr>
        <w:spacing w:beforeLines="100" w:afterLines="100" w:line="400" w:lineRule="exact"/>
        <w:jc w:val="center"/>
        <w:rPr>
          <w:rFonts w:ascii="黑体" w:hAnsi="黑体" w:eastAsia="黑体"/>
          <w:b/>
          <w:sz w:val="36"/>
          <w:szCs w:val="36"/>
        </w:rPr>
      </w:pPr>
      <w:r>
        <w:rPr>
          <w:rFonts w:hint="eastAsia" w:ascii="黑体" w:hAnsi="黑体" w:eastAsia="黑体"/>
          <w:b/>
          <w:sz w:val="36"/>
          <w:szCs w:val="36"/>
        </w:rPr>
        <w:t>目 录</w:t>
      </w:r>
    </w:p>
    <w:p w14:paraId="1871DBBD">
      <w:pPr>
        <w:pStyle w:val="13"/>
        <w:tabs>
          <w:tab w:val="right" w:leader="dot" w:pos="8296"/>
        </w:tabs>
        <w:ind w:firstLine="0" w:firstLineChars="0"/>
        <w:rPr>
          <w:rFonts w:ascii="黑体" w:hAnsi="黑体" w:eastAsia="黑体" w:cstheme="minorBidi"/>
          <w:b w:val="0"/>
          <w:sz w:val="24"/>
          <w:szCs w:val="24"/>
        </w:rPr>
      </w:pPr>
      <w:r>
        <w:rPr>
          <w:rFonts w:hint="eastAsia" w:ascii="黑体" w:hAnsi="黑体" w:eastAsia="黑体" w:cs="黑体"/>
          <w:b w:val="0"/>
          <w:sz w:val="24"/>
          <w:szCs w:val="24"/>
        </w:rPr>
        <w:fldChar w:fldCharType="begin"/>
      </w:r>
      <w:r>
        <w:rPr>
          <w:rFonts w:hint="eastAsia" w:ascii="黑体" w:hAnsi="黑体" w:eastAsia="黑体" w:cs="黑体"/>
          <w:b w:val="0"/>
          <w:sz w:val="24"/>
          <w:szCs w:val="24"/>
        </w:rPr>
        <w:instrText xml:space="preserve"> TOC \o "1-3" \h \z \u </w:instrText>
      </w:r>
      <w:r>
        <w:rPr>
          <w:rFonts w:hint="eastAsia" w:ascii="黑体" w:hAnsi="黑体" w:eastAsia="黑体" w:cs="黑体"/>
          <w:b w:val="0"/>
          <w:sz w:val="24"/>
          <w:szCs w:val="24"/>
        </w:rPr>
        <w:fldChar w:fldCharType="separate"/>
      </w:r>
      <w:r>
        <w:fldChar w:fldCharType="begin"/>
      </w:r>
      <w:r>
        <w:instrText xml:space="preserve"> HYPERLINK \l "_Toc75891105" </w:instrText>
      </w:r>
      <w:r>
        <w:fldChar w:fldCharType="separate"/>
      </w:r>
      <w:r>
        <w:rPr>
          <w:rStyle w:val="21"/>
          <w:rFonts w:ascii="黑体" w:hAnsi="黑体" w:eastAsia="黑体"/>
          <w:color w:val="auto"/>
          <w:sz w:val="24"/>
          <w:szCs w:val="24"/>
        </w:rPr>
        <w:t>前言</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_Toc75891105 \h </w:instrText>
      </w:r>
      <w:r>
        <w:rPr>
          <w:rFonts w:ascii="黑体" w:hAnsi="黑体" w:eastAsia="黑体"/>
          <w:sz w:val="24"/>
          <w:szCs w:val="24"/>
        </w:rPr>
        <w:fldChar w:fldCharType="separate"/>
      </w:r>
      <w:r>
        <w:rPr>
          <w:rFonts w:ascii="黑体" w:hAnsi="黑体" w:eastAsia="黑体"/>
          <w:sz w:val="24"/>
          <w:szCs w:val="24"/>
        </w:rPr>
        <w:t>- 4 -</w:t>
      </w:r>
      <w:r>
        <w:rPr>
          <w:rFonts w:ascii="黑体" w:hAnsi="黑体" w:eastAsia="黑体"/>
          <w:sz w:val="24"/>
          <w:szCs w:val="24"/>
        </w:rPr>
        <w:fldChar w:fldCharType="end"/>
      </w:r>
      <w:r>
        <w:rPr>
          <w:rFonts w:ascii="黑体" w:hAnsi="黑体" w:eastAsia="黑体"/>
          <w:sz w:val="24"/>
          <w:szCs w:val="24"/>
        </w:rPr>
        <w:fldChar w:fldCharType="end"/>
      </w:r>
    </w:p>
    <w:p w14:paraId="2DD8E3BA">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"_Toc75891106" </w:instrText>
      </w:r>
      <w:r>
        <w:fldChar w:fldCharType="separate"/>
      </w:r>
      <w:r>
        <w:rPr>
          <w:rStyle w:val="21"/>
          <w:rFonts w:ascii="黑体" w:hAnsi="黑体" w:eastAsia="黑体"/>
          <w:color w:val="auto"/>
          <w:kern w:val="44"/>
          <w:sz w:val="24"/>
          <w:szCs w:val="24"/>
        </w:rPr>
        <w:t>第一章“十四五”规划基础和面临形势</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_Toc75891106 \h </w:instrText>
      </w:r>
      <w:r>
        <w:rPr>
          <w:rFonts w:ascii="黑体" w:hAnsi="黑体" w:eastAsia="黑体"/>
          <w:sz w:val="24"/>
          <w:szCs w:val="24"/>
        </w:rPr>
        <w:fldChar w:fldCharType="separate"/>
      </w:r>
      <w:r>
        <w:rPr>
          <w:rFonts w:ascii="黑体" w:hAnsi="黑体" w:eastAsia="黑体"/>
          <w:sz w:val="24"/>
          <w:szCs w:val="24"/>
        </w:rPr>
        <w:t>- 5 -</w:t>
      </w:r>
      <w:r>
        <w:rPr>
          <w:rFonts w:ascii="黑体" w:hAnsi="黑体" w:eastAsia="黑体"/>
          <w:sz w:val="24"/>
          <w:szCs w:val="24"/>
        </w:rPr>
        <w:fldChar w:fldCharType="end"/>
      </w:r>
      <w:r>
        <w:rPr>
          <w:rFonts w:ascii="黑体" w:hAnsi="黑体" w:eastAsia="黑体"/>
          <w:sz w:val="24"/>
          <w:szCs w:val="24"/>
        </w:rPr>
        <w:fldChar w:fldCharType="end"/>
      </w:r>
    </w:p>
    <w:p w14:paraId="10B568BB">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"_Toc75891107" </w:instrText>
      </w:r>
      <w:r>
        <w:fldChar w:fldCharType="separate"/>
      </w:r>
      <w:r>
        <w:rPr>
          <w:rStyle w:val="21"/>
          <w:rFonts w:ascii="黑体" w:hAnsi="黑体" w:eastAsia="黑体"/>
          <w:color w:val="auto"/>
          <w:kern w:val="44"/>
          <w:sz w:val="24"/>
          <w:szCs w:val="24"/>
        </w:rPr>
        <w:t>第一节规划基础</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_Toc75891107 \h </w:instrText>
      </w:r>
      <w:r>
        <w:rPr>
          <w:rFonts w:ascii="黑体" w:hAnsi="黑体" w:eastAsia="黑体"/>
          <w:sz w:val="24"/>
          <w:szCs w:val="24"/>
        </w:rPr>
        <w:fldChar w:fldCharType="separate"/>
      </w:r>
      <w:r>
        <w:rPr>
          <w:rFonts w:ascii="黑体" w:hAnsi="黑体" w:eastAsia="黑体"/>
          <w:sz w:val="24"/>
          <w:szCs w:val="24"/>
        </w:rPr>
        <w:t>- 5 -</w:t>
      </w:r>
      <w:r>
        <w:rPr>
          <w:rFonts w:ascii="黑体" w:hAnsi="黑体" w:eastAsia="黑体"/>
          <w:sz w:val="24"/>
          <w:szCs w:val="24"/>
        </w:rPr>
        <w:fldChar w:fldCharType="end"/>
      </w:r>
      <w:r>
        <w:rPr>
          <w:rFonts w:ascii="黑体" w:hAnsi="黑体" w:eastAsia="黑体"/>
          <w:sz w:val="24"/>
          <w:szCs w:val="24"/>
        </w:rPr>
        <w:fldChar w:fldCharType="end"/>
      </w:r>
    </w:p>
    <w:p w14:paraId="23CAAE0B">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"_Toc75891108" </w:instrText>
      </w:r>
      <w:r>
        <w:fldChar w:fldCharType="separate"/>
      </w:r>
      <w:r>
        <w:rPr>
          <w:rStyle w:val="21"/>
          <w:rFonts w:ascii="黑体" w:hAnsi="黑体" w:eastAsia="黑体"/>
          <w:color w:val="auto"/>
          <w:sz w:val="24"/>
          <w:szCs w:val="24"/>
        </w:rPr>
        <w:t>第二节 面临形势</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_Toc75891108 \h </w:instrText>
      </w:r>
      <w:r>
        <w:rPr>
          <w:rFonts w:ascii="黑体" w:hAnsi="黑体" w:eastAsia="黑体"/>
          <w:sz w:val="24"/>
          <w:szCs w:val="24"/>
        </w:rPr>
        <w:fldChar w:fldCharType="separate"/>
      </w:r>
      <w:r>
        <w:rPr>
          <w:rFonts w:ascii="黑体" w:hAnsi="黑体" w:eastAsia="黑体"/>
          <w:sz w:val="24"/>
          <w:szCs w:val="24"/>
        </w:rPr>
        <w:t>- 11 -</w:t>
      </w:r>
      <w:r>
        <w:rPr>
          <w:rFonts w:ascii="黑体" w:hAnsi="黑体" w:eastAsia="黑体"/>
          <w:sz w:val="24"/>
          <w:szCs w:val="24"/>
        </w:rPr>
        <w:fldChar w:fldCharType="end"/>
      </w:r>
      <w:r>
        <w:rPr>
          <w:rFonts w:ascii="黑体" w:hAnsi="黑体" w:eastAsia="黑体"/>
          <w:sz w:val="24"/>
          <w:szCs w:val="24"/>
        </w:rPr>
        <w:fldChar w:fldCharType="end"/>
      </w:r>
    </w:p>
    <w:p w14:paraId="1F008E6D">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"_Toc75891109" </w:instrText>
      </w:r>
      <w:r>
        <w:fldChar w:fldCharType="separate"/>
      </w:r>
      <w:r>
        <w:rPr>
          <w:rStyle w:val="21"/>
          <w:rFonts w:ascii="黑体" w:hAnsi="黑体" w:eastAsia="黑体"/>
          <w:color w:val="auto"/>
          <w:sz w:val="24"/>
          <w:szCs w:val="24"/>
        </w:rPr>
        <w:t>第二章 指导思想、基本原则和发展目标</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_Toc75891109 \h </w:instrText>
      </w:r>
      <w:r>
        <w:rPr>
          <w:rFonts w:ascii="黑体" w:hAnsi="黑体" w:eastAsia="黑体"/>
          <w:sz w:val="24"/>
          <w:szCs w:val="24"/>
        </w:rPr>
        <w:fldChar w:fldCharType="separate"/>
      </w:r>
      <w:r>
        <w:rPr>
          <w:rFonts w:ascii="黑体" w:hAnsi="黑体" w:eastAsia="黑体"/>
          <w:sz w:val="24"/>
          <w:szCs w:val="24"/>
        </w:rPr>
        <w:t>- 14 -</w:t>
      </w:r>
      <w:r>
        <w:rPr>
          <w:rFonts w:ascii="黑体" w:hAnsi="黑体" w:eastAsia="黑体"/>
          <w:sz w:val="24"/>
          <w:szCs w:val="24"/>
        </w:rPr>
        <w:fldChar w:fldCharType="end"/>
      </w:r>
      <w:r>
        <w:rPr>
          <w:rFonts w:ascii="黑体" w:hAnsi="黑体" w:eastAsia="黑体"/>
          <w:sz w:val="24"/>
          <w:szCs w:val="24"/>
        </w:rPr>
        <w:fldChar w:fldCharType="end"/>
      </w:r>
    </w:p>
    <w:p w14:paraId="621CEFD3">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"_Toc75891110" </w:instrText>
      </w:r>
      <w:r>
        <w:fldChar w:fldCharType="separate"/>
      </w:r>
      <w:r>
        <w:rPr>
          <w:rStyle w:val="21"/>
          <w:rFonts w:ascii="黑体" w:hAnsi="黑体" w:eastAsia="黑体"/>
          <w:color w:val="auto"/>
          <w:sz w:val="24"/>
          <w:szCs w:val="24"/>
        </w:rPr>
        <w:t>第一节 指导思想</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_Toc75891110 \h </w:instrText>
      </w:r>
      <w:r>
        <w:rPr>
          <w:rFonts w:ascii="黑体" w:hAnsi="黑体" w:eastAsia="黑体"/>
          <w:sz w:val="24"/>
          <w:szCs w:val="24"/>
        </w:rPr>
        <w:fldChar w:fldCharType="separate"/>
      </w:r>
      <w:r>
        <w:rPr>
          <w:rFonts w:ascii="黑体" w:hAnsi="黑体" w:eastAsia="黑体"/>
          <w:sz w:val="24"/>
          <w:szCs w:val="24"/>
        </w:rPr>
        <w:t>- 14 -</w:t>
      </w:r>
      <w:r>
        <w:rPr>
          <w:rFonts w:ascii="黑体" w:hAnsi="黑体" w:eastAsia="黑体"/>
          <w:sz w:val="24"/>
          <w:szCs w:val="24"/>
        </w:rPr>
        <w:fldChar w:fldCharType="end"/>
      </w:r>
      <w:r>
        <w:rPr>
          <w:rFonts w:ascii="黑体" w:hAnsi="黑体" w:eastAsia="黑体"/>
          <w:sz w:val="24"/>
          <w:szCs w:val="24"/>
        </w:rPr>
        <w:fldChar w:fldCharType="end"/>
      </w:r>
    </w:p>
    <w:p w14:paraId="374AF947">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"_Toc75891111" </w:instrText>
      </w:r>
      <w:r>
        <w:fldChar w:fldCharType="separate"/>
      </w:r>
      <w:r>
        <w:rPr>
          <w:rStyle w:val="21"/>
          <w:rFonts w:ascii="黑体" w:hAnsi="黑体" w:eastAsia="黑体"/>
          <w:color w:val="auto"/>
          <w:sz w:val="24"/>
          <w:szCs w:val="24"/>
        </w:rPr>
        <w:t>第二节 基本原则</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_Toc75891111 \h </w:instrText>
      </w:r>
      <w:r>
        <w:rPr>
          <w:rFonts w:ascii="黑体" w:hAnsi="黑体" w:eastAsia="黑体"/>
          <w:sz w:val="24"/>
          <w:szCs w:val="24"/>
        </w:rPr>
        <w:fldChar w:fldCharType="separate"/>
      </w:r>
      <w:r>
        <w:rPr>
          <w:rFonts w:ascii="黑体" w:hAnsi="黑体" w:eastAsia="黑体"/>
          <w:sz w:val="24"/>
          <w:szCs w:val="24"/>
        </w:rPr>
        <w:t>- 15 -</w:t>
      </w:r>
      <w:r>
        <w:rPr>
          <w:rFonts w:ascii="黑体" w:hAnsi="黑体" w:eastAsia="黑体"/>
          <w:sz w:val="24"/>
          <w:szCs w:val="24"/>
        </w:rPr>
        <w:fldChar w:fldCharType="end"/>
      </w:r>
      <w:r>
        <w:rPr>
          <w:rFonts w:ascii="黑体" w:hAnsi="黑体" w:eastAsia="黑体"/>
          <w:sz w:val="24"/>
          <w:szCs w:val="24"/>
        </w:rPr>
        <w:fldChar w:fldCharType="end"/>
      </w:r>
    </w:p>
    <w:p w14:paraId="4233DE1B">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"_Toc75891112" </w:instrText>
      </w:r>
      <w:r>
        <w:fldChar w:fldCharType="separate"/>
      </w:r>
      <w:r>
        <w:rPr>
          <w:rStyle w:val="21"/>
          <w:rFonts w:ascii="黑体" w:hAnsi="黑体" w:eastAsia="黑体"/>
          <w:color w:val="auto"/>
          <w:sz w:val="24"/>
          <w:szCs w:val="24"/>
        </w:rPr>
        <w:t>第三节发展目标</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_Toc75891112 \h </w:instrText>
      </w:r>
      <w:r>
        <w:rPr>
          <w:rFonts w:ascii="黑体" w:hAnsi="黑体" w:eastAsia="黑体"/>
          <w:sz w:val="24"/>
          <w:szCs w:val="24"/>
        </w:rPr>
        <w:fldChar w:fldCharType="separate"/>
      </w:r>
      <w:r>
        <w:rPr>
          <w:rFonts w:ascii="黑体" w:hAnsi="黑体" w:eastAsia="黑体"/>
          <w:sz w:val="24"/>
          <w:szCs w:val="24"/>
        </w:rPr>
        <w:t>- 16 -</w:t>
      </w:r>
      <w:r>
        <w:rPr>
          <w:rFonts w:ascii="黑体" w:hAnsi="黑体" w:eastAsia="黑体"/>
          <w:sz w:val="24"/>
          <w:szCs w:val="24"/>
        </w:rPr>
        <w:fldChar w:fldCharType="end"/>
      </w:r>
      <w:r>
        <w:rPr>
          <w:rFonts w:ascii="黑体" w:hAnsi="黑体" w:eastAsia="黑体"/>
          <w:sz w:val="24"/>
          <w:szCs w:val="24"/>
        </w:rPr>
        <w:fldChar w:fldCharType="end"/>
      </w:r>
    </w:p>
    <w:p w14:paraId="3158630D">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"_Toc75891113" </w:instrText>
      </w:r>
      <w:r>
        <w:fldChar w:fldCharType="separate"/>
      </w:r>
      <w:r>
        <w:rPr>
          <w:rStyle w:val="21"/>
          <w:rFonts w:ascii="黑体" w:hAnsi="黑体" w:eastAsia="黑体"/>
          <w:color w:val="auto"/>
          <w:sz w:val="24"/>
          <w:szCs w:val="24"/>
        </w:rPr>
        <w:t>第三章 努力实现更加充分更高质量的就业</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_Toc75891113 \h </w:instrText>
      </w:r>
      <w:r>
        <w:rPr>
          <w:rFonts w:ascii="黑体" w:hAnsi="黑体" w:eastAsia="黑体"/>
          <w:sz w:val="24"/>
          <w:szCs w:val="24"/>
        </w:rPr>
        <w:fldChar w:fldCharType="separate"/>
      </w:r>
      <w:r>
        <w:rPr>
          <w:rFonts w:ascii="黑体" w:hAnsi="黑体" w:eastAsia="黑体"/>
          <w:sz w:val="24"/>
          <w:szCs w:val="24"/>
        </w:rPr>
        <w:t>- 19 -</w:t>
      </w:r>
      <w:r>
        <w:rPr>
          <w:rFonts w:ascii="黑体" w:hAnsi="黑体" w:eastAsia="黑体"/>
          <w:sz w:val="24"/>
          <w:szCs w:val="24"/>
        </w:rPr>
        <w:fldChar w:fldCharType="end"/>
      </w:r>
      <w:r>
        <w:rPr>
          <w:rFonts w:ascii="黑体" w:hAnsi="黑体" w:eastAsia="黑体"/>
          <w:sz w:val="24"/>
          <w:szCs w:val="24"/>
        </w:rPr>
        <w:fldChar w:fldCharType="end"/>
      </w:r>
    </w:p>
    <w:p w14:paraId="1BB993D5">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"_Toc75891114" </w:instrText>
      </w:r>
      <w:r>
        <w:fldChar w:fldCharType="separate"/>
      </w:r>
      <w:r>
        <w:rPr>
          <w:rStyle w:val="21"/>
          <w:rFonts w:ascii="黑体" w:hAnsi="黑体" w:eastAsia="黑体"/>
          <w:color w:val="auto"/>
          <w:sz w:val="24"/>
          <w:szCs w:val="24"/>
        </w:rPr>
        <w:t>第一节大力实施就业优先战略</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_Toc75891114 \h </w:instrText>
      </w:r>
      <w:r>
        <w:rPr>
          <w:rFonts w:ascii="黑体" w:hAnsi="黑体" w:eastAsia="黑体"/>
          <w:sz w:val="24"/>
          <w:szCs w:val="24"/>
        </w:rPr>
        <w:fldChar w:fldCharType="separate"/>
      </w:r>
      <w:r>
        <w:rPr>
          <w:rFonts w:ascii="黑体" w:hAnsi="黑体" w:eastAsia="黑体"/>
          <w:sz w:val="24"/>
          <w:szCs w:val="24"/>
        </w:rPr>
        <w:t>- 19 -</w:t>
      </w:r>
      <w:r>
        <w:rPr>
          <w:rFonts w:ascii="黑体" w:hAnsi="黑体" w:eastAsia="黑体"/>
          <w:sz w:val="24"/>
          <w:szCs w:val="24"/>
        </w:rPr>
        <w:fldChar w:fldCharType="end"/>
      </w:r>
      <w:r>
        <w:rPr>
          <w:rFonts w:ascii="黑体" w:hAnsi="黑体" w:eastAsia="黑体"/>
          <w:sz w:val="24"/>
          <w:szCs w:val="24"/>
        </w:rPr>
        <w:fldChar w:fldCharType="end"/>
      </w:r>
    </w:p>
    <w:p w14:paraId="7028219C">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"_Toc75891115" </w:instrText>
      </w:r>
      <w:r>
        <w:fldChar w:fldCharType="separate"/>
      </w:r>
      <w:r>
        <w:rPr>
          <w:rStyle w:val="21"/>
          <w:rFonts w:ascii="黑体" w:hAnsi="黑体" w:eastAsia="黑体"/>
          <w:color w:val="auto"/>
          <w:sz w:val="24"/>
          <w:szCs w:val="24"/>
        </w:rPr>
        <w:t>第二节强化就业优先政策</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_Toc75891115 \h </w:instrText>
      </w:r>
      <w:r>
        <w:rPr>
          <w:rFonts w:ascii="黑体" w:hAnsi="黑体" w:eastAsia="黑体"/>
          <w:sz w:val="24"/>
          <w:szCs w:val="24"/>
        </w:rPr>
        <w:fldChar w:fldCharType="separate"/>
      </w:r>
      <w:r>
        <w:rPr>
          <w:rFonts w:ascii="黑体" w:hAnsi="黑体" w:eastAsia="黑体"/>
          <w:sz w:val="24"/>
          <w:szCs w:val="24"/>
        </w:rPr>
        <w:t>- 19 -</w:t>
      </w:r>
      <w:r>
        <w:rPr>
          <w:rFonts w:ascii="黑体" w:hAnsi="黑体" w:eastAsia="黑体"/>
          <w:sz w:val="24"/>
          <w:szCs w:val="24"/>
        </w:rPr>
        <w:fldChar w:fldCharType="end"/>
      </w:r>
      <w:r>
        <w:rPr>
          <w:rFonts w:ascii="黑体" w:hAnsi="黑体" w:eastAsia="黑体"/>
          <w:sz w:val="24"/>
          <w:szCs w:val="24"/>
        </w:rPr>
        <w:fldChar w:fldCharType="end"/>
      </w:r>
    </w:p>
    <w:p w14:paraId="00D81E1C">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"_Toc75891116" </w:instrText>
      </w:r>
      <w:r>
        <w:fldChar w:fldCharType="separate"/>
      </w:r>
      <w:r>
        <w:rPr>
          <w:rStyle w:val="21"/>
          <w:rFonts w:ascii="黑体" w:hAnsi="黑体" w:eastAsia="黑体"/>
          <w:color w:val="auto"/>
          <w:sz w:val="24"/>
          <w:szCs w:val="24"/>
        </w:rPr>
        <w:t>第三节促进以创业带动就业</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_Toc75891116 \h </w:instrText>
      </w:r>
      <w:r>
        <w:rPr>
          <w:rFonts w:ascii="黑体" w:hAnsi="黑体" w:eastAsia="黑体"/>
          <w:sz w:val="24"/>
          <w:szCs w:val="24"/>
        </w:rPr>
        <w:fldChar w:fldCharType="separate"/>
      </w:r>
      <w:r>
        <w:rPr>
          <w:rFonts w:ascii="黑体" w:hAnsi="黑体" w:eastAsia="黑体"/>
          <w:sz w:val="24"/>
          <w:szCs w:val="24"/>
        </w:rPr>
        <w:t>- 21 -</w:t>
      </w:r>
      <w:r>
        <w:rPr>
          <w:rFonts w:ascii="黑体" w:hAnsi="黑体" w:eastAsia="黑体"/>
          <w:sz w:val="24"/>
          <w:szCs w:val="24"/>
        </w:rPr>
        <w:fldChar w:fldCharType="end"/>
      </w:r>
      <w:r>
        <w:rPr>
          <w:rFonts w:ascii="黑体" w:hAnsi="黑体" w:eastAsia="黑体"/>
          <w:sz w:val="24"/>
          <w:szCs w:val="24"/>
        </w:rPr>
        <w:fldChar w:fldCharType="end"/>
      </w:r>
    </w:p>
    <w:p w14:paraId="4C7CA995">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"_Toc75891117" </w:instrText>
      </w:r>
      <w:r>
        <w:fldChar w:fldCharType="separate"/>
      </w:r>
      <w:r>
        <w:rPr>
          <w:rStyle w:val="21"/>
          <w:rFonts w:ascii="黑体" w:hAnsi="黑体" w:eastAsia="黑体"/>
          <w:color w:val="auto"/>
          <w:sz w:val="24"/>
          <w:szCs w:val="24"/>
        </w:rPr>
        <w:t>第四节重点群体就业行动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_Toc75891117 \h </w:instrText>
      </w:r>
      <w:r>
        <w:rPr>
          <w:rFonts w:ascii="黑体" w:hAnsi="黑体" w:eastAsia="黑体"/>
          <w:sz w:val="24"/>
          <w:szCs w:val="24"/>
        </w:rPr>
        <w:fldChar w:fldCharType="separate"/>
      </w:r>
      <w:r>
        <w:rPr>
          <w:rFonts w:ascii="黑体" w:hAnsi="黑体" w:eastAsia="黑体"/>
          <w:sz w:val="24"/>
          <w:szCs w:val="24"/>
        </w:rPr>
        <w:t>- 22 -</w:t>
      </w:r>
      <w:r>
        <w:rPr>
          <w:rFonts w:ascii="黑体" w:hAnsi="黑体" w:eastAsia="黑体"/>
          <w:sz w:val="24"/>
          <w:szCs w:val="24"/>
        </w:rPr>
        <w:fldChar w:fldCharType="end"/>
      </w:r>
      <w:r>
        <w:rPr>
          <w:rFonts w:ascii="黑体" w:hAnsi="黑体" w:eastAsia="黑体"/>
          <w:sz w:val="24"/>
          <w:szCs w:val="24"/>
        </w:rPr>
        <w:fldChar w:fldCharType="end"/>
      </w:r>
    </w:p>
    <w:p w14:paraId="3395E429">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"_Toc75891118" </w:instrText>
      </w:r>
      <w:r>
        <w:fldChar w:fldCharType="separate"/>
      </w:r>
      <w:r>
        <w:rPr>
          <w:rStyle w:val="21"/>
          <w:rFonts w:ascii="黑体" w:hAnsi="黑体" w:eastAsia="黑体"/>
          <w:color w:val="auto"/>
          <w:sz w:val="24"/>
          <w:szCs w:val="24"/>
        </w:rPr>
        <w:t>第五节 实施技能人才培育行动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_Toc75891118 \h </w:instrText>
      </w:r>
      <w:r>
        <w:rPr>
          <w:rFonts w:ascii="黑体" w:hAnsi="黑体" w:eastAsia="黑体"/>
          <w:sz w:val="24"/>
          <w:szCs w:val="24"/>
        </w:rPr>
        <w:fldChar w:fldCharType="separate"/>
      </w:r>
      <w:r>
        <w:rPr>
          <w:rFonts w:ascii="黑体" w:hAnsi="黑体" w:eastAsia="黑体"/>
          <w:sz w:val="24"/>
          <w:szCs w:val="24"/>
        </w:rPr>
        <w:t>- 24 -</w:t>
      </w:r>
      <w:r>
        <w:rPr>
          <w:rFonts w:ascii="黑体" w:hAnsi="黑体" w:eastAsia="黑体"/>
          <w:sz w:val="24"/>
          <w:szCs w:val="24"/>
        </w:rPr>
        <w:fldChar w:fldCharType="end"/>
      </w:r>
      <w:r>
        <w:rPr>
          <w:rFonts w:ascii="黑体" w:hAnsi="黑体" w:eastAsia="黑体"/>
          <w:sz w:val="24"/>
          <w:szCs w:val="24"/>
        </w:rPr>
        <w:fldChar w:fldCharType="end"/>
      </w:r>
    </w:p>
    <w:p w14:paraId="4952F7A0">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"_Toc75891119" </w:instrText>
      </w:r>
      <w:r>
        <w:fldChar w:fldCharType="separate"/>
      </w:r>
      <w:r>
        <w:rPr>
          <w:rStyle w:val="21"/>
          <w:rFonts w:ascii="黑体" w:hAnsi="黑体" w:eastAsia="黑体"/>
          <w:color w:val="auto"/>
          <w:sz w:val="24"/>
          <w:szCs w:val="24"/>
        </w:rPr>
        <w:t>第四章 完善覆盖全民的社会保障体系</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_Toc75891119 \h </w:instrText>
      </w:r>
      <w:r>
        <w:rPr>
          <w:rFonts w:ascii="黑体" w:hAnsi="黑体" w:eastAsia="黑体"/>
          <w:sz w:val="24"/>
          <w:szCs w:val="24"/>
        </w:rPr>
        <w:fldChar w:fldCharType="separate"/>
      </w:r>
      <w:r>
        <w:rPr>
          <w:rFonts w:ascii="黑体" w:hAnsi="黑体" w:eastAsia="黑体"/>
          <w:sz w:val="24"/>
          <w:szCs w:val="24"/>
        </w:rPr>
        <w:t>- 26 -</w:t>
      </w:r>
      <w:r>
        <w:rPr>
          <w:rFonts w:ascii="黑体" w:hAnsi="黑体" w:eastAsia="黑体"/>
          <w:sz w:val="24"/>
          <w:szCs w:val="24"/>
        </w:rPr>
        <w:fldChar w:fldCharType="end"/>
      </w:r>
      <w:r>
        <w:rPr>
          <w:rFonts w:ascii="黑体" w:hAnsi="黑体" w:eastAsia="黑体"/>
          <w:sz w:val="24"/>
          <w:szCs w:val="24"/>
        </w:rPr>
        <w:fldChar w:fldCharType="end"/>
      </w:r>
    </w:p>
    <w:p w14:paraId="022C4365">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"_Toc75891120" </w:instrText>
      </w:r>
      <w:r>
        <w:fldChar w:fldCharType="separate"/>
      </w:r>
      <w:r>
        <w:rPr>
          <w:rStyle w:val="21"/>
          <w:rFonts w:ascii="黑体" w:hAnsi="黑体" w:eastAsia="黑体"/>
          <w:color w:val="auto"/>
          <w:sz w:val="24"/>
          <w:szCs w:val="24"/>
        </w:rPr>
        <w:t>第一节 坚持和完善统筹城乡的社会保障制度</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_Toc75891120 \h </w:instrText>
      </w:r>
      <w:r>
        <w:rPr>
          <w:rFonts w:ascii="黑体" w:hAnsi="黑体" w:eastAsia="黑体"/>
          <w:sz w:val="24"/>
          <w:szCs w:val="24"/>
        </w:rPr>
        <w:fldChar w:fldCharType="separate"/>
      </w:r>
      <w:r>
        <w:rPr>
          <w:rFonts w:ascii="黑体" w:hAnsi="黑体" w:eastAsia="黑体"/>
          <w:sz w:val="24"/>
          <w:szCs w:val="24"/>
        </w:rPr>
        <w:t>- 26 -</w:t>
      </w:r>
      <w:r>
        <w:rPr>
          <w:rFonts w:ascii="黑体" w:hAnsi="黑体" w:eastAsia="黑体"/>
          <w:sz w:val="24"/>
          <w:szCs w:val="24"/>
        </w:rPr>
        <w:fldChar w:fldCharType="end"/>
      </w:r>
      <w:r>
        <w:rPr>
          <w:rFonts w:ascii="黑体" w:hAnsi="黑体" w:eastAsia="黑体"/>
          <w:sz w:val="24"/>
          <w:szCs w:val="24"/>
        </w:rPr>
        <w:fldChar w:fldCharType="end"/>
      </w:r>
    </w:p>
    <w:p w14:paraId="3671D7CE">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"_Toc75891121" </w:instrText>
      </w:r>
      <w:r>
        <w:fldChar w:fldCharType="separate"/>
      </w:r>
      <w:r>
        <w:rPr>
          <w:rStyle w:val="21"/>
          <w:rFonts w:ascii="黑体" w:hAnsi="黑体" w:eastAsia="黑体"/>
          <w:color w:val="auto"/>
          <w:sz w:val="24"/>
          <w:szCs w:val="24"/>
        </w:rPr>
        <w:t>第二节 推进社会保障全民覆盖</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_Toc75891121 \h </w:instrText>
      </w:r>
      <w:r>
        <w:rPr>
          <w:rFonts w:ascii="黑体" w:hAnsi="黑体" w:eastAsia="黑体"/>
          <w:sz w:val="24"/>
          <w:szCs w:val="24"/>
        </w:rPr>
        <w:fldChar w:fldCharType="separate"/>
      </w:r>
      <w:r>
        <w:rPr>
          <w:rFonts w:ascii="黑体" w:hAnsi="黑体" w:eastAsia="黑体"/>
          <w:sz w:val="24"/>
          <w:szCs w:val="24"/>
        </w:rPr>
        <w:t>- 27 -</w:t>
      </w:r>
      <w:r>
        <w:rPr>
          <w:rFonts w:ascii="黑体" w:hAnsi="黑体" w:eastAsia="黑体"/>
          <w:sz w:val="24"/>
          <w:szCs w:val="24"/>
        </w:rPr>
        <w:fldChar w:fldCharType="end"/>
      </w:r>
      <w:r>
        <w:rPr>
          <w:rFonts w:ascii="黑体" w:hAnsi="黑体" w:eastAsia="黑体"/>
          <w:sz w:val="24"/>
          <w:szCs w:val="24"/>
        </w:rPr>
        <w:fldChar w:fldCharType="end"/>
      </w:r>
    </w:p>
    <w:p w14:paraId="0E878170">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"_Toc75891122" </w:instrText>
      </w:r>
      <w:r>
        <w:fldChar w:fldCharType="separate"/>
      </w:r>
      <w:r>
        <w:rPr>
          <w:rStyle w:val="21"/>
          <w:rFonts w:ascii="黑体" w:hAnsi="黑体" w:eastAsia="黑体"/>
          <w:color w:val="auto"/>
          <w:sz w:val="24"/>
          <w:szCs w:val="24"/>
        </w:rPr>
        <w:t>第三节 构建多层次的社会保障体系</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_Toc75891122 \h </w:instrText>
      </w:r>
      <w:r>
        <w:rPr>
          <w:rFonts w:ascii="黑体" w:hAnsi="黑体" w:eastAsia="黑体"/>
          <w:sz w:val="24"/>
          <w:szCs w:val="24"/>
        </w:rPr>
        <w:fldChar w:fldCharType="separate"/>
      </w:r>
      <w:r>
        <w:rPr>
          <w:rFonts w:ascii="黑体" w:hAnsi="黑体" w:eastAsia="黑体"/>
          <w:sz w:val="24"/>
          <w:szCs w:val="24"/>
        </w:rPr>
        <w:t>- 27 -</w:t>
      </w:r>
      <w:r>
        <w:rPr>
          <w:rFonts w:ascii="黑体" w:hAnsi="黑体" w:eastAsia="黑体"/>
          <w:sz w:val="24"/>
          <w:szCs w:val="24"/>
        </w:rPr>
        <w:fldChar w:fldCharType="end"/>
      </w:r>
      <w:r>
        <w:rPr>
          <w:rFonts w:ascii="黑体" w:hAnsi="黑体" w:eastAsia="黑体"/>
          <w:sz w:val="24"/>
          <w:szCs w:val="24"/>
        </w:rPr>
        <w:fldChar w:fldCharType="end"/>
      </w:r>
    </w:p>
    <w:p w14:paraId="12DC0EB9">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"_Toc75891123" </w:instrText>
      </w:r>
      <w:r>
        <w:fldChar w:fldCharType="separate"/>
      </w:r>
      <w:r>
        <w:rPr>
          <w:rStyle w:val="21"/>
          <w:rFonts w:ascii="黑体" w:hAnsi="黑体" w:eastAsia="黑体"/>
          <w:color w:val="auto"/>
          <w:sz w:val="24"/>
          <w:szCs w:val="24"/>
        </w:rPr>
        <w:t>第四节 保障基金安全可持续运行</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_Toc75891123 \h </w:instrText>
      </w:r>
      <w:r>
        <w:rPr>
          <w:rFonts w:ascii="黑体" w:hAnsi="黑体" w:eastAsia="黑体"/>
          <w:sz w:val="24"/>
          <w:szCs w:val="24"/>
        </w:rPr>
        <w:fldChar w:fldCharType="separate"/>
      </w:r>
      <w:r>
        <w:rPr>
          <w:rFonts w:ascii="黑体" w:hAnsi="黑体" w:eastAsia="黑体"/>
          <w:sz w:val="24"/>
          <w:szCs w:val="24"/>
        </w:rPr>
        <w:t>- 28 -</w:t>
      </w:r>
      <w:r>
        <w:rPr>
          <w:rFonts w:ascii="黑体" w:hAnsi="黑体" w:eastAsia="黑体"/>
          <w:sz w:val="24"/>
          <w:szCs w:val="24"/>
        </w:rPr>
        <w:fldChar w:fldCharType="end"/>
      </w:r>
      <w:r>
        <w:rPr>
          <w:rFonts w:ascii="黑体" w:hAnsi="黑体" w:eastAsia="黑体"/>
          <w:sz w:val="24"/>
          <w:szCs w:val="24"/>
        </w:rPr>
        <w:fldChar w:fldCharType="end"/>
      </w:r>
    </w:p>
    <w:p w14:paraId="144573BD">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"_Toc75891124" </w:instrText>
      </w:r>
      <w:r>
        <w:fldChar w:fldCharType="separate"/>
      </w:r>
      <w:r>
        <w:rPr>
          <w:rStyle w:val="21"/>
          <w:rFonts w:ascii="黑体" w:hAnsi="黑体" w:eastAsia="黑体"/>
          <w:color w:val="auto"/>
          <w:sz w:val="24"/>
          <w:szCs w:val="24"/>
        </w:rPr>
        <w:t>第五章实施人才强市战略，推进人才优先发展</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_Toc75891124 \h </w:instrText>
      </w:r>
      <w:r>
        <w:rPr>
          <w:rFonts w:ascii="黑体" w:hAnsi="黑体" w:eastAsia="黑体"/>
          <w:sz w:val="24"/>
          <w:szCs w:val="24"/>
        </w:rPr>
        <w:fldChar w:fldCharType="separate"/>
      </w:r>
      <w:r>
        <w:rPr>
          <w:rFonts w:ascii="黑体" w:hAnsi="黑体" w:eastAsia="黑体"/>
          <w:sz w:val="24"/>
          <w:szCs w:val="24"/>
        </w:rPr>
        <w:t>- 28 -</w:t>
      </w:r>
      <w:r>
        <w:rPr>
          <w:rFonts w:ascii="黑体" w:hAnsi="黑体" w:eastAsia="黑体"/>
          <w:sz w:val="24"/>
          <w:szCs w:val="24"/>
        </w:rPr>
        <w:fldChar w:fldCharType="end"/>
      </w:r>
      <w:r>
        <w:rPr>
          <w:rFonts w:ascii="黑体" w:hAnsi="黑体" w:eastAsia="黑体"/>
          <w:sz w:val="24"/>
          <w:szCs w:val="24"/>
        </w:rPr>
        <w:fldChar w:fldCharType="end"/>
      </w:r>
    </w:p>
    <w:p w14:paraId="7243620C">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"_Toc75891125" </w:instrText>
      </w:r>
      <w:r>
        <w:fldChar w:fldCharType="separate"/>
      </w:r>
      <w:r>
        <w:rPr>
          <w:rStyle w:val="21"/>
          <w:rFonts w:ascii="黑体" w:hAnsi="黑体" w:eastAsia="黑体"/>
          <w:color w:val="auto"/>
          <w:sz w:val="24"/>
          <w:szCs w:val="24"/>
        </w:rPr>
        <w:t>第一节深化人才体制机制改革</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_Toc75891125 \h </w:instrText>
      </w:r>
      <w:r>
        <w:rPr>
          <w:rFonts w:ascii="黑体" w:hAnsi="黑体" w:eastAsia="黑体"/>
          <w:sz w:val="24"/>
          <w:szCs w:val="24"/>
        </w:rPr>
        <w:fldChar w:fldCharType="separate"/>
      </w:r>
      <w:r>
        <w:rPr>
          <w:rFonts w:ascii="黑体" w:hAnsi="黑体" w:eastAsia="黑体"/>
          <w:sz w:val="24"/>
          <w:szCs w:val="24"/>
        </w:rPr>
        <w:t>- 29 -</w:t>
      </w:r>
      <w:r>
        <w:rPr>
          <w:rFonts w:ascii="黑体" w:hAnsi="黑体" w:eastAsia="黑体"/>
          <w:sz w:val="24"/>
          <w:szCs w:val="24"/>
        </w:rPr>
        <w:fldChar w:fldCharType="end"/>
      </w:r>
      <w:r>
        <w:rPr>
          <w:rFonts w:ascii="黑体" w:hAnsi="黑体" w:eastAsia="黑体"/>
          <w:sz w:val="24"/>
          <w:szCs w:val="24"/>
        </w:rPr>
        <w:fldChar w:fldCharType="end"/>
      </w:r>
    </w:p>
    <w:p w14:paraId="616921EF">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"_Toc75891126" </w:instrText>
      </w:r>
      <w:r>
        <w:fldChar w:fldCharType="separate"/>
      </w:r>
      <w:r>
        <w:rPr>
          <w:rStyle w:val="21"/>
          <w:rFonts w:ascii="黑体" w:hAnsi="黑体" w:eastAsia="黑体"/>
          <w:color w:val="auto"/>
          <w:sz w:val="24"/>
          <w:szCs w:val="24"/>
        </w:rPr>
        <w:t>第二节深入实施“福聚英才”战略计划</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_Toc75891126 \h </w:instrText>
      </w:r>
      <w:r>
        <w:rPr>
          <w:rFonts w:ascii="黑体" w:hAnsi="黑体" w:eastAsia="黑体"/>
          <w:sz w:val="24"/>
          <w:szCs w:val="24"/>
        </w:rPr>
        <w:fldChar w:fldCharType="separate"/>
      </w:r>
      <w:r>
        <w:rPr>
          <w:rFonts w:ascii="黑体" w:hAnsi="黑体" w:eastAsia="黑体"/>
          <w:sz w:val="24"/>
          <w:szCs w:val="24"/>
        </w:rPr>
        <w:t>- 30 -</w:t>
      </w:r>
      <w:r>
        <w:rPr>
          <w:rFonts w:ascii="黑体" w:hAnsi="黑体" w:eastAsia="黑体"/>
          <w:sz w:val="24"/>
          <w:szCs w:val="24"/>
        </w:rPr>
        <w:fldChar w:fldCharType="end"/>
      </w:r>
      <w:r>
        <w:rPr>
          <w:rFonts w:ascii="黑体" w:hAnsi="黑体" w:eastAsia="黑体"/>
          <w:sz w:val="24"/>
          <w:szCs w:val="24"/>
        </w:rPr>
        <w:fldChar w:fldCharType="end"/>
      </w:r>
    </w:p>
    <w:p w14:paraId="79960AAF">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"_Toc75891127" </w:instrText>
      </w:r>
      <w:r>
        <w:fldChar w:fldCharType="separate"/>
      </w:r>
      <w:r>
        <w:rPr>
          <w:rStyle w:val="21"/>
          <w:rFonts w:ascii="黑体" w:hAnsi="黑体" w:eastAsia="黑体"/>
          <w:color w:val="auto"/>
          <w:sz w:val="24"/>
          <w:szCs w:val="24"/>
        </w:rPr>
        <w:t>第三节 加强区域人才合作</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_Toc75891127 \h </w:instrText>
      </w:r>
      <w:r>
        <w:rPr>
          <w:rFonts w:ascii="黑体" w:hAnsi="黑体" w:eastAsia="黑体"/>
          <w:sz w:val="24"/>
          <w:szCs w:val="24"/>
        </w:rPr>
        <w:fldChar w:fldCharType="separate"/>
      </w:r>
      <w:r>
        <w:rPr>
          <w:rFonts w:ascii="黑体" w:hAnsi="黑体" w:eastAsia="黑体"/>
          <w:sz w:val="24"/>
          <w:szCs w:val="24"/>
        </w:rPr>
        <w:t>- 34 -</w:t>
      </w:r>
      <w:r>
        <w:rPr>
          <w:rFonts w:ascii="黑体" w:hAnsi="黑体" w:eastAsia="黑体"/>
          <w:sz w:val="24"/>
          <w:szCs w:val="24"/>
        </w:rPr>
        <w:fldChar w:fldCharType="end"/>
      </w:r>
      <w:r>
        <w:rPr>
          <w:rFonts w:ascii="黑体" w:hAnsi="黑体" w:eastAsia="黑体"/>
          <w:sz w:val="24"/>
          <w:szCs w:val="24"/>
        </w:rPr>
        <w:fldChar w:fldCharType="end"/>
      </w:r>
    </w:p>
    <w:p w14:paraId="39E63C90">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"_Toc75891128" </w:instrText>
      </w:r>
      <w:r>
        <w:fldChar w:fldCharType="separate"/>
      </w:r>
      <w:r>
        <w:rPr>
          <w:rStyle w:val="21"/>
          <w:rFonts w:ascii="黑体" w:hAnsi="黑体" w:eastAsia="黑体"/>
          <w:color w:val="auto"/>
          <w:sz w:val="24"/>
          <w:szCs w:val="24"/>
        </w:rPr>
        <w:t>第四节大力发展人力资源服务业</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_Toc75891128 \h </w:instrText>
      </w:r>
      <w:r>
        <w:rPr>
          <w:rFonts w:ascii="黑体" w:hAnsi="黑体" w:eastAsia="黑体"/>
          <w:sz w:val="24"/>
          <w:szCs w:val="24"/>
        </w:rPr>
        <w:fldChar w:fldCharType="separate"/>
      </w:r>
      <w:r>
        <w:rPr>
          <w:rFonts w:ascii="黑体" w:hAnsi="黑体" w:eastAsia="黑体"/>
          <w:sz w:val="24"/>
          <w:szCs w:val="24"/>
        </w:rPr>
        <w:t>- 36 -</w:t>
      </w:r>
      <w:r>
        <w:rPr>
          <w:rFonts w:ascii="黑体" w:hAnsi="黑体" w:eastAsia="黑体"/>
          <w:sz w:val="24"/>
          <w:szCs w:val="24"/>
        </w:rPr>
        <w:fldChar w:fldCharType="end"/>
      </w:r>
      <w:r>
        <w:rPr>
          <w:rFonts w:ascii="黑体" w:hAnsi="黑体" w:eastAsia="黑体"/>
          <w:sz w:val="24"/>
          <w:szCs w:val="24"/>
        </w:rPr>
        <w:fldChar w:fldCharType="end"/>
      </w:r>
    </w:p>
    <w:p w14:paraId="634AE17F">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"_Toc75891129" </w:instrText>
      </w:r>
      <w:r>
        <w:fldChar w:fldCharType="separate"/>
      </w:r>
      <w:r>
        <w:rPr>
          <w:rStyle w:val="21"/>
          <w:rFonts w:ascii="黑体" w:hAnsi="黑体" w:eastAsia="黑体"/>
          <w:color w:val="auto"/>
          <w:sz w:val="24"/>
          <w:szCs w:val="24"/>
        </w:rPr>
        <w:t>第五节 营造人才干事创业的良好环境</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_Toc75891129 \h </w:instrText>
      </w:r>
      <w:r>
        <w:rPr>
          <w:rFonts w:ascii="黑体" w:hAnsi="黑体" w:eastAsia="黑体"/>
          <w:sz w:val="24"/>
          <w:szCs w:val="24"/>
        </w:rPr>
        <w:fldChar w:fldCharType="separate"/>
      </w:r>
      <w:r>
        <w:rPr>
          <w:rFonts w:ascii="黑体" w:hAnsi="黑体" w:eastAsia="黑体"/>
          <w:sz w:val="24"/>
          <w:szCs w:val="24"/>
        </w:rPr>
        <w:t>- 36 -</w:t>
      </w:r>
      <w:r>
        <w:rPr>
          <w:rFonts w:ascii="黑体" w:hAnsi="黑体" w:eastAsia="黑体"/>
          <w:sz w:val="24"/>
          <w:szCs w:val="24"/>
        </w:rPr>
        <w:fldChar w:fldCharType="end"/>
      </w:r>
      <w:r>
        <w:rPr>
          <w:rFonts w:ascii="黑体" w:hAnsi="黑体" w:eastAsia="黑体"/>
          <w:sz w:val="24"/>
          <w:szCs w:val="24"/>
        </w:rPr>
        <w:fldChar w:fldCharType="end"/>
      </w:r>
    </w:p>
    <w:p w14:paraId="41CA5DF5">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"_Toc75891130" </w:instrText>
      </w:r>
      <w:r>
        <w:fldChar w:fldCharType="separate"/>
      </w:r>
      <w:r>
        <w:rPr>
          <w:rStyle w:val="21"/>
          <w:rFonts w:ascii="黑体" w:hAnsi="黑体" w:eastAsia="黑体"/>
          <w:color w:val="auto"/>
          <w:sz w:val="24"/>
          <w:szCs w:val="24"/>
        </w:rPr>
        <w:t>第六章 提高人事管理科学化水平</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_Toc75891130 \h </w:instrText>
      </w:r>
      <w:r>
        <w:rPr>
          <w:rFonts w:ascii="黑体" w:hAnsi="黑体" w:eastAsia="黑体"/>
          <w:sz w:val="24"/>
          <w:szCs w:val="24"/>
        </w:rPr>
        <w:fldChar w:fldCharType="separate"/>
      </w:r>
      <w:r>
        <w:rPr>
          <w:rFonts w:ascii="黑体" w:hAnsi="黑体" w:eastAsia="黑体"/>
          <w:sz w:val="24"/>
          <w:szCs w:val="24"/>
        </w:rPr>
        <w:t>- 39 -</w:t>
      </w:r>
      <w:r>
        <w:rPr>
          <w:rFonts w:ascii="黑体" w:hAnsi="黑体" w:eastAsia="黑体"/>
          <w:sz w:val="24"/>
          <w:szCs w:val="24"/>
        </w:rPr>
        <w:fldChar w:fldCharType="end"/>
      </w:r>
      <w:r>
        <w:rPr>
          <w:rFonts w:ascii="黑体" w:hAnsi="黑体" w:eastAsia="黑体"/>
          <w:sz w:val="24"/>
          <w:szCs w:val="24"/>
        </w:rPr>
        <w:fldChar w:fldCharType="end"/>
      </w:r>
    </w:p>
    <w:p w14:paraId="65CBC942">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"_Toc75891131" </w:instrText>
      </w:r>
      <w:r>
        <w:fldChar w:fldCharType="separate"/>
      </w:r>
      <w:r>
        <w:rPr>
          <w:rStyle w:val="21"/>
          <w:rFonts w:ascii="黑体" w:hAnsi="黑体" w:eastAsia="黑体"/>
          <w:color w:val="auto"/>
          <w:sz w:val="24"/>
          <w:szCs w:val="24"/>
        </w:rPr>
        <w:t>第一节 深化事业单位人事制度改革</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_Toc75891131 \h </w:instrText>
      </w:r>
      <w:r>
        <w:rPr>
          <w:rFonts w:ascii="黑体" w:hAnsi="黑体" w:eastAsia="黑体"/>
          <w:sz w:val="24"/>
          <w:szCs w:val="24"/>
        </w:rPr>
        <w:fldChar w:fldCharType="separate"/>
      </w:r>
      <w:r>
        <w:rPr>
          <w:rFonts w:ascii="黑体" w:hAnsi="黑体" w:eastAsia="黑体"/>
          <w:sz w:val="24"/>
          <w:szCs w:val="24"/>
        </w:rPr>
        <w:t>- 40 -</w:t>
      </w:r>
      <w:r>
        <w:rPr>
          <w:rFonts w:ascii="黑体" w:hAnsi="黑体" w:eastAsia="黑体"/>
          <w:sz w:val="24"/>
          <w:szCs w:val="24"/>
        </w:rPr>
        <w:fldChar w:fldCharType="end"/>
      </w:r>
      <w:r>
        <w:rPr>
          <w:rFonts w:ascii="黑体" w:hAnsi="黑体" w:eastAsia="黑体"/>
          <w:sz w:val="24"/>
          <w:szCs w:val="24"/>
        </w:rPr>
        <w:fldChar w:fldCharType="end"/>
      </w:r>
    </w:p>
    <w:p w14:paraId="099E3D05">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"_Toc75891132" </w:instrText>
      </w:r>
      <w:r>
        <w:fldChar w:fldCharType="separate"/>
      </w:r>
      <w:r>
        <w:rPr>
          <w:rStyle w:val="21"/>
          <w:rFonts w:ascii="黑体" w:hAnsi="黑体" w:eastAsia="黑体"/>
          <w:color w:val="auto"/>
          <w:sz w:val="24"/>
          <w:szCs w:val="24"/>
        </w:rPr>
        <w:t>第二节 深化职称制度改革</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_Toc75891132 \h </w:instrText>
      </w:r>
      <w:r>
        <w:rPr>
          <w:rFonts w:ascii="黑体" w:hAnsi="黑体" w:eastAsia="黑体"/>
          <w:sz w:val="24"/>
          <w:szCs w:val="24"/>
        </w:rPr>
        <w:fldChar w:fldCharType="separate"/>
      </w:r>
      <w:r>
        <w:rPr>
          <w:rFonts w:ascii="黑体" w:hAnsi="黑体" w:eastAsia="黑体"/>
          <w:sz w:val="24"/>
          <w:szCs w:val="24"/>
        </w:rPr>
        <w:t>- 40 -</w:t>
      </w:r>
      <w:r>
        <w:rPr>
          <w:rFonts w:ascii="黑体" w:hAnsi="黑体" w:eastAsia="黑体"/>
          <w:sz w:val="24"/>
          <w:szCs w:val="24"/>
        </w:rPr>
        <w:fldChar w:fldCharType="end"/>
      </w:r>
      <w:r>
        <w:rPr>
          <w:rFonts w:ascii="黑体" w:hAnsi="黑体" w:eastAsia="黑体"/>
          <w:sz w:val="24"/>
          <w:szCs w:val="24"/>
        </w:rPr>
        <w:fldChar w:fldCharType="end"/>
      </w:r>
    </w:p>
    <w:p w14:paraId="1BC1FCDF">
      <w:pPr>
        <w:pStyle w:val="13"/>
        <w:tabs>
          <w:tab w:val="right" w:leader="dot" w:pos="8296"/>
        </w:tabs>
        <w:ind w:firstLine="602"/>
        <w:sectPr>
          <w:footerReference r:id="rId5" w:type="default"/>
          <w:footerReference r:id="rId6" w:type="even"/>
          <w:pgSz w:w="11906" w:h="16838"/>
          <w:pgMar w:top="1440" w:right="1800" w:bottom="1440" w:left="1800" w:header="851" w:footer="992" w:gutter="0"/>
          <w:pgNumType w:fmt="numberInDash"/>
          <w:cols w:space="720" w:num="1"/>
          <w:docGrid w:type="lines" w:linePitch="312" w:charSpace="0"/>
        </w:sectPr>
      </w:pPr>
    </w:p>
    <w:p w14:paraId="57FBC3C8">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"_Toc75891133" </w:instrText>
      </w:r>
      <w:r>
        <w:fldChar w:fldCharType="separate"/>
      </w:r>
      <w:r>
        <w:rPr>
          <w:rStyle w:val="21"/>
          <w:rFonts w:ascii="黑体" w:hAnsi="黑体" w:eastAsia="黑体"/>
          <w:color w:val="auto"/>
          <w:sz w:val="24"/>
          <w:szCs w:val="24"/>
        </w:rPr>
        <w:t>第三节 健全事业单位公开招聘制度</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_Toc75891133 \h </w:instrText>
      </w:r>
      <w:r>
        <w:rPr>
          <w:rFonts w:ascii="黑体" w:hAnsi="黑体" w:eastAsia="黑体"/>
          <w:sz w:val="24"/>
          <w:szCs w:val="24"/>
        </w:rPr>
        <w:fldChar w:fldCharType="separate"/>
      </w:r>
      <w:r>
        <w:rPr>
          <w:rFonts w:ascii="黑体" w:hAnsi="黑体" w:eastAsia="黑体"/>
          <w:sz w:val="24"/>
          <w:szCs w:val="24"/>
        </w:rPr>
        <w:t>- 41 -</w:t>
      </w:r>
      <w:r>
        <w:rPr>
          <w:rFonts w:ascii="黑体" w:hAnsi="黑体" w:eastAsia="黑体"/>
          <w:sz w:val="24"/>
          <w:szCs w:val="24"/>
        </w:rPr>
        <w:fldChar w:fldCharType="end"/>
      </w:r>
      <w:r>
        <w:rPr>
          <w:rFonts w:ascii="黑体" w:hAnsi="黑体" w:eastAsia="黑体"/>
          <w:sz w:val="24"/>
          <w:szCs w:val="24"/>
        </w:rPr>
        <w:fldChar w:fldCharType="end"/>
      </w:r>
    </w:p>
    <w:p w14:paraId="3FB68775">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"_Toc75891134" </w:instrText>
      </w:r>
      <w:r>
        <w:fldChar w:fldCharType="separate"/>
      </w:r>
      <w:r>
        <w:rPr>
          <w:rStyle w:val="21"/>
          <w:rFonts w:ascii="黑体" w:hAnsi="黑体" w:eastAsia="黑体"/>
          <w:color w:val="auto"/>
          <w:sz w:val="24"/>
          <w:szCs w:val="24"/>
        </w:rPr>
        <w:t>第四节 规范开展表彰奖励工作</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_Toc75891134 \h </w:instrText>
      </w:r>
      <w:r>
        <w:rPr>
          <w:rFonts w:ascii="黑体" w:hAnsi="黑体" w:eastAsia="黑体"/>
          <w:sz w:val="24"/>
          <w:szCs w:val="24"/>
        </w:rPr>
        <w:fldChar w:fldCharType="separate"/>
      </w:r>
      <w:r>
        <w:rPr>
          <w:rFonts w:ascii="黑体" w:hAnsi="黑体" w:eastAsia="黑体"/>
          <w:sz w:val="24"/>
          <w:szCs w:val="24"/>
        </w:rPr>
        <w:t>- 41 -</w:t>
      </w:r>
      <w:r>
        <w:rPr>
          <w:rFonts w:ascii="黑体" w:hAnsi="黑体" w:eastAsia="黑体"/>
          <w:sz w:val="24"/>
          <w:szCs w:val="24"/>
        </w:rPr>
        <w:fldChar w:fldCharType="end"/>
      </w:r>
      <w:r>
        <w:rPr>
          <w:rFonts w:ascii="黑体" w:hAnsi="黑体" w:eastAsia="黑体"/>
          <w:sz w:val="24"/>
          <w:szCs w:val="24"/>
        </w:rPr>
        <w:fldChar w:fldCharType="end"/>
      </w:r>
    </w:p>
    <w:p w14:paraId="4B01918B">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"_Toc75891135" </w:instrText>
      </w:r>
      <w:r>
        <w:fldChar w:fldCharType="separate"/>
      </w:r>
      <w:r>
        <w:rPr>
          <w:rStyle w:val="21"/>
          <w:rFonts w:ascii="黑体" w:hAnsi="黑体" w:eastAsia="黑体"/>
          <w:color w:val="auto"/>
          <w:kern w:val="44"/>
          <w:sz w:val="24"/>
          <w:szCs w:val="24"/>
        </w:rPr>
        <w:t>第七章深化工资收入分配制度改革</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_Toc75891135 \h </w:instrText>
      </w:r>
      <w:r>
        <w:rPr>
          <w:rFonts w:ascii="黑体" w:hAnsi="黑体" w:eastAsia="黑体"/>
          <w:sz w:val="24"/>
          <w:szCs w:val="24"/>
        </w:rPr>
        <w:fldChar w:fldCharType="separate"/>
      </w:r>
      <w:r>
        <w:rPr>
          <w:rFonts w:ascii="黑体" w:hAnsi="黑体" w:eastAsia="黑体"/>
          <w:sz w:val="24"/>
          <w:szCs w:val="24"/>
        </w:rPr>
        <w:t>- 42 -</w:t>
      </w:r>
      <w:r>
        <w:rPr>
          <w:rFonts w:ascii="黑体" w:hAnsi="黑体" w:eastAsia="黑体"/>
          <w:sz w:val="24"/>
          <w:szCs w:val="24"/>
        </w:rPr>
        <w:fldChar w:fldCharType="end"/>
      </w:r>
      <w:r>
        <w:rPr>
          <w:rFonts w:ascii="黑体" w:hAnsi="黑体" w:eastAsia="黑体"/>
          <w:sz w:val="24"/>
          <w:szCs w:val="24"/>
        </w:rPr>
        <w:fldChar w:fldCharType="end"/>
      </w:r>
    </w:p>
    <w:p w14:paraId="179427C5">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"_Toc75891136" </w:instrText>
      </w:r>
      <w:r>
        <w:fldChar w:fldCharType="separate"/>
      </w:r>
      <w:r>
        <w:rPr>
          <w:rStyle w:val="21"/>
          <w:rFonts w:ascii="黑体" w:hAnsi="黑体" w:eastAsia="黑体"/>
          <w:color w:val="auto"/>
          <w:kern w:val="44"/>
          <w:sz w:val="24"/>
          <w:szCs w:val="24"/>
        </w:rPr>
        <w:t>第一节 加强企业工资宏观调控</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_Toc75891136 \h </w:instrText>
      </w:r>
      <w:r>
        <w:rPr>
          <w:rFonts w:ascii="黑体" w:hAnsi="黑体" w:eastAsia="黑体"/>
          <w:sz w:val="24"/>
          <w:szCs w:val="24"/>
        </w:rPr>
        <w:fldChar w:fldCharType="separate"/>
      </w:r>
      <w:r>
        <w:rPr>
          <w:rFonts w:ascii="黑体" w:hAnsi="黑体" w:eastAsia="黑体"/>
          <w:sz w:val="24"/>
          <w:szCs w:val="24"/>
        </w:rPr>
        <w:t>- 42 -</w:t>
      </w:r>
      <w:r>
        <w:rPr>
          <w:rFonts w:ascii="黑体" w:hAnsi="黑体" w:eastAsia="黑体"/>
          <w:sz w:val="24"/>
          <w:szCs w:val="24"/>
        </w:rPr>
        <w:fldChar w:fldCharType="end"/>
      </w:r>
      <w:r>
        <w:rPr>
          <w:rFonts w:ascii="黑体" w:hAnsi="黑体" w:eastAsia="黑体"/>
          <w:sz w:val="24"/>
          <w:szCs w:val="24"/>
        </w:rPr>
        <w:fldChar w:fldCharType="end"/>
      </w:r>
    </w:p>
    <w:p w14:paraId="05FC30B3">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"_Toc75891137" </w:instrText>
      </w:r>
      <w:r>
        <w:fldChar w:fldCharType="separate"/>
      </w:r>
      <w:r>
        <w:rPr>
          <w:rStyle w:val="21"/>
          <w:rFonts w:ascii="黑体" w:hAnsi="黑体" w:eastAsia="黑体"/>
          <w:color w:val="auto"/>
          <w:kern w:val="44"/>
          <w:sz w:val="24"/>
          <w:szCs w:val="24"/>
        </w:rPr>
        <w:t>第二节 深化国有企业收入分配改革</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_Toc75891137 \h </w:instrText>
      </w:r>
      <w:r>
        <w:rPr>
          <w:rFonts w:ascii="黑体" w:hAnsi="黑体" w:eastAsia="黑体"/>
          <w:sz w:val="24"/>
          <w:szCs w:val="24"/>
        </w:rPr>
        <w:fldChar w:fldCharType="separate"/>
      </w:r>
      <w:r>
        <w:rPr>
          <w:rFonts w:ascii="黑体" w:hAnsi="黑体" w:eastAsia="黑体"/>
          <w:sz w:val="24"/>
          <w:szCs w:val="24"/>
        </w:rPr>
        <w:t>- 43 -</w:t>
      </w:r>
      <w:r>
        <w:rPr>
          <w:rFonts w:ascii="黑体" w:hAnsi="黑体" w:eastAsia="黑体"/>
          <w:sz w:val="24"/>
          <w:szCs w:val="24"/>
        </w:rPr>
        <w:fldChar w:fldCharType="end"/>
      </w:r>
      <w:r>
        <w:rPr>
          <w:rFonts w:ascii="黑体" w:hAnsi="黑体" w:eastAsia="黑体"/>
          <w:sz w:val="24"/>
          <w:szCs w:val="24"/>
        </w:rPr>
        <w:fldChar w:fldCharType="end"/>
      </w:r>
    </w:p>
    <w:p w14:paraId="64B17E63">
      <w:pPr>
        <w:pStyle w:val="13"/>
        <w:tabs>
          <w:tab w:val="right" w:leader="dot" w:pos="8296"/>
        </w:tabs>
        <w:ind w:firstLine="602"/>
      </w:pPr>
      <w:r>
        <w:fldChar w:fldCharType="begin"/>
      </w:r>
      <w:r>
        <w:instrText xml:space="preserve"> HYPERLINK \l "_Toc75891138" </w:instrText>
      </w:r>
      <w:r>
        <w:fldChar w:fldCharType="separate"/>
      </w:r>
      <w:r>
        <w:rPr>
          <w:rStyle w:val="21"/>
          <w:rFonts w:ascii="黑体" w:hAnsi="黑体" w:eastAsia="黑体"/>
          <w:color w:val="auto"/>
          <w:kern w:val="44"/>
          <w:sz w:val="24"/>
          <w:szCs w:val="24"/>
        </w:rPr>
        <w:t>第三节 完善事业单位工资制度</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_Toc75891138 \h </w:instrText>
      </w:r>
      <w:r>
        <w:rPr>
          <w:rFonts w:ascii="黑体" w:hAnsi="黑体" w:eastAsia="黑体"/>
          <w:sz w:val="24"/>
          <w:szCs w:val="24"/>
        </w:rPr>
        <w:fldChar w:fldCharType="separate"/>
      </w:r>
      <w:r>
        <w:rPr>
          <w:rFonts w:ascii="黑体" w:hAnsi="黑体" w:eastAsia="黑体"/>
          <w:sz w:val="24"/>
          <w:szCs w:val="24"/>
        </w:rPr>
        <w:t>- 43 -</w:t>
      </w:r>
      <w:r>
        <w:rPr>
          <w:rFonts w:ascii="黑体" w:hAnsi="黑体" w:eastAsia="黑体"/>
          <w:sz w:val="24"/>
          <w:szCs w:val="24"/>
        </w:rPr>
        <w:fldChar w:fldCharType="end"/>
      </w:r>
      <w:r>
        <w:rPr>
          <w:rFonts w:ascii="黑体" w:hAnsi="黑体" w:eastAsia="黑体"/>
          <w:sz w:val="24"/>
          <w:szCs w:val="24"/>
        </w:rPr>
        <w:fldChar w:fldCharType="end"/>
      </w:r>
    </w:p>
    <w:p w14:paraId="18B002EA">
      <w:pPr>
        <w:pStyle w:val="13"/>
        <w:tabs>
          <w:tab w:val="right" w:leader="dot" w:pos="8296"/>
        </w:tabs>
        <w:ind w:firstLine="593" w:firstLineChars="249"/>
      </w:pPr>
      <w:r>
        <w:rPr>
          <w:rStyle w:val="21"/>
          <w:rFonts w:hint="eastAsia" w:ascii="黑体" w:hAnsi="黑体" w:eastAsia="黑体"/>
          <w:color w:val="auto"/>
          <w:kern w:val="44"/>
          <w:sz w:val="24"/>
          <w:szCs w:val="24"/>
          <w:u w:val="none"/>
        </w:rPr>
        <w:t>第四节 提高机关事业单位工作人员和离退休人员待遇</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_Toc75891139 \h </w:instrText>
      </w:r>
      <w:r>
        <w:rPr>
          <w:rFonts w:ascii="黑体" w:hAnsi="黑体" w:eastAsia="黑体"/>
          <w:sz w:val="24"/>
          <w:szCs w:val="24"/>
        </w:rPr>
        <w:fldChar w:fldCharType="separate"/>
      </w:r>
      <w:r>
        <w:rPr>
          <w:rFonts w:ascii="黑体" w:hAnsi="黑体" w:eastAsia="黑体"/>
          <w:sz w:val="24"/>
          <w:szCs w:val="24"/>
        </w:rPr>
        <w:t>- 44 -</w:t>
      </w:r>
      <w:r>
        <w:rPr>
          <w:rFonts w:ascii="黑体" w:hAnsi="黑体" w:eastAsia="黑体"/>
          <w:sz w:val="24"/>
          <w:szCs w:val="24"/>
        </w:rPr>
        <w:fldChar w:fldCharType="end"/>
      </w:r>
    </w:p>
    <w:p w14:paraId="3902B962">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"_Toc75891139" </w:instrText>
      </w:r>
      <w:r>
        <w:fldChar w:fldCharType="separate"/>
      </w:r>
      <w:r>
        <w:rPr>
          <w:rStyle w:val="21"/>
          <w:rFonts w:ascii="黑体" w:hAnsi="黑体" w:eastAsia="黑体"/>
          <w:color w:val="auto"/>
          <w:kern w:val="44"/>
          <w:sz w:val="24"/>
          <w:szCs w:val="24"/>
        </w:rPr>
        <w:t>第八章 积极构建和谐劳动关系</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_Toc75891139 \h </w:instrText>
      </w:r>
      <w:r>
        <w:rPr>
          <w:rFonts w:ascii="黑体" w:hAnsi="黑体" w:eastAsia="黑体"/>
          <w:sz w:val="24"/>
          <w:szCs w:val="24"/>
        </w:rPr>
        <w:fldChar w:fldCharType="separate"/>
      </w:r>
      <w:r>
        <w:rPr>
          <w:rFonts w:ascii="黑体" w:hAnsi="黑体" w:eastAsia="黑体"/>
          <w:sz w:val="24"/>
          <w:szCs w:val="24"/>
        </w:rPr>
        <w:t>- 44 -</w:t>
      </w:r>
      <w:r>
        <w:rPr>
          <w:rFonts w:ascii="黑体" w:hAnsi="黑体" w:eastAsia="黑体"/>
          <w:sz w:val="24"/>
          <w:szCs w:val="24"/>
        </w:rPr>
        <w:fldChar w:fldCharType="end"/>
      </w:r>
      <w:r>
        <w:rPr>
          <w:rFonts w:ascii="黑体" w:hAnsi="黑体" w:eastAsia="黑体"/>
          <w:sz w:val="24"/>
          <w:szCs w:val="24"/>
        </w:rPr>
        <w:fldChar w:fldCharType="end"/>
      </w:r>
    </w:p>
    <w:p w14:paraId="29F627E3">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"_Toc75891140" </w:instrText>
      </w:r>
      <w:r>
        <w:fldChar w:fldCharType="separate"/>
      </w:r>
      <w:r>
        <w:rPr>
          <w:rStyle w:val="21"/>
          <w:rFonts w:ascii="黑体" w:hAnsi="黑体" w:eastAsia="黑体"/>
          <w:color w:val="auto"/>
          <w:kern w:val="44"/>
          <w:sz w:val="24"/>
          <w:szCs w:val="24"/>
        </w:rPr>
        <w:t>第一节 健全劳动关系协调机制</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_Toc75891140 \h </w:instrText>
      </w:r>
      <w:r>
        <w:rPr>
          <w:rFonts w:ascii="黑体" w:hAnsi="黑体" w:eastAsia="黑体"/>
          <w:sz w:val="24"/>
          <w:szCs w:val="24"/>
        </w:rPr>
        <w:fldChar w:fldCharType="separate"/>
      </w:r>
      <w:r>
        <w:rPr>
          <w:rFonts w:ascii="黑体" w:hAnsi="黑体" w:eastAsia="黑体"/>
          <w:sz w:val="24"/>
          <w:szCs w:val="24"/>
        </w:rPr>
        <w:t>- 45 -</w:t>
      </w:r>
      <w:r>
        <w:rPr>
          <w:rFonts w:ascii="黑体" w:hAnsi="黑体" w:eastAsia="黑体"/>
          <w:sz w:val="24"/>
          <w:szCs w:val="24"/>
        </w:rPr>
        <w:fldChar w:fldCharType="end"/>
      </w:r>
      <w:r>
        <w:rPr>
          <w:rFonts w:ascii="黑体" w:hAnsi="黑体" w:eastAsia="黑体"/>
          <w:sz w:val="24"/>
          <w:szCs w:val="24"/>
        </w:rPr>
        <w:fldChar w:fldCharType="end"/>
      </w:r>
    </w:p>
    <w:p w14:paraId="585C833C">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"_Toc75891141" </w:instrText>
      </w:r>
      <w:r>
        <w:fldChar w:fldCharType="separate"/>
      </w:r>
      <w:r>
        <w:rPr>
          <w:rStyle w:val="21"/>
          <w:rFonts w:ascii="黑体" w:hAnsi="黑体" w:eastAsia="黑体"/>
          <w:color w:val="auto"/>
          <w:kern w:val="44"/>
          <w:sz w:val="24"/>
          <w:szCs w:val="24"/>
        </w:rPr>
        <w:t>第二节 完善劳动人事争议处理机制</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_Toc75891141 \h </w:instrText>
      </w:r>
      <w:r>
        <w:rPr>
          <w:rFonts w:ascii="黑体" w:hAnsi="黑体" w:eastAsia="黑体"/>
          <w:sz w:val="24"/>
          <w:szCs w:val="24"/>
        </w:rPr>
        <w:fldChar w:fldCharType="separate"/>
      </w:r>
      <w:r>
        <w:rPr>
          <w:rFonts w:ascii="黑体" w:hAnsi="黑体" w:eastAsia="黑体"/>
          <w:sz w:val="24"/>
          <w:szCs w:val="24"/>
        </w:rPr>
        <w:t>- 46 -</w:t>
      </w:r>
      <w:r>
        <w:rPr>
          <w:rFonts w:ascii="黑体" w:hAnsi="黑体" w:eastAsia="黑体"/>
          <w:sz w:val="24"/>
          <w:szCs w:val="24"/>
        </w:rPr>
        <w:fldChar w:fldCharType="end"/>
      </w:r>
      <w:r>
        <w:rPr>
          <w:rFonts w:ascii="黑体" w:hAnsi="黑体" w:eastAsia="黑体"/>
          <w:sz w:val="24"/>
          <w:szCs w:val="24"/>
        </w:rPr>
        <w:fldChar w:fldCharType="end"/>
      </w:r>
    </w:p>
    <w:p w14:paraId="45916CC0">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"_Toc75891142" </w:instrText>
      </w:r>
      <w:r>
        <w:fldChar w:fldCharType="separate"/>
      </w:r>
      <w:r>
        <w:rPr>
          <w:rStyle w:val="21"/>
          <w:rFonts w:ascii="黑体" w:hAnsi="黑体" w:eastAsia="黑体"/>
          <w:color w:val="auto"/>
          <w:kern w:val="44"/>
          <w:sz w:val="24"/>
          <w:szCs w:val="24"/>
        </w:rPr>
        <w:t xml:space="preserve">第三节 </w:t>
      </w:r>
      <w:r>
        <w:rPr>
          <w:rStyle w:val="21"/>
          <w:rFonts w:hint="eastAsia" w:ascii="黑体" w:hAnsi="黑体" w:eastAsia="黑体"/>
          <w:color w:val="auto"/>
          <w:kern w:val="44"/>
          <w:sz w:val="24"/>
          <w:szCs w:val="24"/>
        </w:rPr>
        <w:t>提升</w:t>
      </w:r>
      <w:r>
        <w:rPr>
          <w:rStyle w:val="21"/>
          <w:rFonts w:ascii="黑体" w:hAnsi="黑体" w:eastAsia="黑体"/>
          <w:color w:val="auto"/>
          <w:kern w:val="44"/>
          <w:sz w:val="24"/>
          <w:szCs w:val="24"/>
        </w:rPr>
        <w:t>劳动保障监察执法</w:t>
      </w:r>
      <w:r>
        <w:rPr>
          <w:rStyle w:val="21"/>
          <w:rFonts w:hint="eastAsia" w:ascii="黑体" w:hAnsi="黑体" w:eastAsia="黑体"/>
          <w:color w:val="auto"/>
          <w:kern w:val="44"/>
          <w:sz w:val="24"/>
          <w:szCs w:val="24"/>
        </w:rPr>
        <w:t>效能</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_Toc75891142 \h </w:instrText>
      </w:r>
      <w:r>
        <w:rPr>
          <w:rFonts w:ascii="黑体" w:hAnsi="黑体" w:eastAsia="黑体"/>
          <w:sz w:val="24"/>
          <w:szCs w:val="24"/>
        </w:rPr>
        <w:fldChar w:fldCharType="separate"/>
      </w:r>
      <w:r>
        <w:rPr>
          <w:rFonts w:ascii="黑体" w:hAnsi="黑体" w:eastAsia="黑体"/>
          <w:sz w:val="24"/>
          <w:szCs w:val="24"/>
        </w:rPr>
        <w:t>- 47 -</w:t>
      </w:r>
      <w:r>
        <w:rPr>
          <w:rFonts w:ascii="黑体" w:hAnsi="黑体" w:eastAsia="黑体"/>
          <w:sz w:val="24"/>
          <w:szCs w:val="24"/>
        </w:rPr>
        <w:fldChar w:fldCharType="end"/>
      </w:r>
      <w:r>
        <w:rPr>
          <w:rFonts w:ascii="黑体" w:hAnsi="黑体" w:eastAsia="黑体"/>
          <w:sz w:val="24"/>
          <w:szCs w:val="24"/>
        </w:rPr>
        <w:fldChar w:fldCharType="end"/>
      </w:r>
    </w:p>
    <w:p w14:paraId="2364DAF4">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"_Toc75891143" </w:instrText>
      </w:r>
      <w:r>
        <w:fldChar w:fldCharType="separate"/>
      </w:r>
      <w:r>
        <w:rPr>
          <w:rStyle w:val="21"/>
          <w:rFonts w:ascii="黑体" w:hAnsi="黑体" w:eastAsia="黑体"/>
          <w:color w:val="auto"/>
          <w:sz w:val="24"/>
          <w:szCs w:val="24"/>
        </w:rPr>
        <w:t>第四节加强农民工服务保障工作</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_Toc75891143 \h </w:instrText>
      </w:r>
      <w:r>
        <w:rPr>
          <w:rFonts w:ascii="黑体" w:hAnsi="黑体" w:eastAsia="黑体"/>
          <w:sz w:val="24"/>
          <w:szCs w:val="24"/>
        </w:rPr>
        <w:fldChar w:fldCharType="separate"/>
      </w:r>
      <w:r>
        <w:rPr>
          <w:rFonts w:ascii="黑体" w:hAnsi="黑体" w:eastAsia="黑体"/>
          <w:sz w:val="24"/>
          <w:szCs w:val="24"/>
        </w:rPr>
        <w:t>- 48 -</w:t>
      </w:r>
      <w:r>
        <w:rPr>
          <w:rFonts w:ascii="黑体" w:hAnsi="黑体" w:eastAsia="黑体"/>
          <w:sz w:val="24"/>
          <w:szCs w:val="24"/>
        </w:rPr>
        <w:fldChar w:fldCharType="end"/>
      </w:r>
      <w:r>
        <w:rPr>
          <w:rFonts w:ascii="黑体" w:hAnsi="黑体" w:eastAsia="黑体"/>
          <w:sz w:val="24"/>
          <w:szCs w:val="24"/>
        </w:rPr>
        <w:fldChar w:fldCharType="end"/>
      </w:r>
    </w:p>
    <w:p w14:paraId="6D6C6D0C">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"_Toc75891144" </w:instrText>
      </w:r>
      <w:r>
        <w:fldChar w:fldCharType="separate"/>
      </w:r>
      <w:r>
        <w:rPr>
          <w:rStyle w:val="21"/>
          <w:rFonts w:ascii="黑体" w:hAnsi="黑体" w:eastAsia="黑体"/>
          <w:color w:val="auto"/>
          <w:kern w:val="44"/>
          <w:sz w:val="24"/>
          <w:szCs w:val="24"/>
        </w:rPr>
        <w:t>第九章</w:t>
      </w:r>
      <w:r>
        <w:rPr>
          <w:rStyle w:val="21"/>
          <w:rFonts w:hint="eastAsia" w:ascii="黑体" w:hAnsi="黑体" w:eastAsia="黑体"/>
          <w:color w:val="auto"/>
          <w:kern w:val="44"/>
          <w:sz w:val="24"/>
          <w:szCs w:val="24"/>
        </w:rPr>
        <w:t xml:space="preserve"> 提高基本</w:t>
      </w:r>
      <w:r>
        <w:rPr>
          <w:rStyle w:val="21"/>
          <w:rFonts w:ascii="黑体" w:hAnsi="黑体" w:eastAsia="黑体"/>
          <w:color w:val="auto"/>
          <w:kern w:val="44"/>
          <w:sz w:val="24"/>
          <w:szCs w:val="24"/>
        </w:rPr>
        <w:t>公共服务</w:t>
      </w:r>
      <w:r>
        <w:rPr>
          <w:rStyle w:val="21"/>
          <w:rFonts w:hint="eastAsia" w:ascii="黑体" w:hAnsi="黑体" w:eastAsia="黑体"/>
          <w:color w:val="auto"/>
          <w:kern w:val="44"/>
          <w:sz w:val="24"/>
          <w:szCs w:val="24"/>
        </w:rPr>
        <w:t>能力和质量</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_Toc75891144 \h </w:instrText>
      </w:r>
      <w:r>
        <w:rPr>
          <w:rFonts w:ascii="黑体" w:hAnsi="黑体" w:eastAsia="黑体"/>
          <w:sz w:val="24"/>
          <w:szCs w:val="24"/>
        </w:rPr>
        <w:fldChar w:fldCharType="separate"/>
      </w:r>
      <w:r>
        <w:rPr>
          <w:rFonts w:ascii="黑体" w:hAnsi="黑体" w:eastAsia="黑体"/>
          <w:sz w:val="24"/>
          <w:szCs w:val="24"/>
        </w:rPr>
        <w:t>- 50 -</w:t>
      </w:r>
      <w:r>
        <w:rPr>
          <w:rFonts w:ascii="黑体" w:hAnsi="黑体" w:eastAsia="黑体"/>
          <w:sz w:val="24"/>
          <w:szCs w:val="24"/>
        </w:rPr>
        <w:fldChar w:fldCharType="end"/>
      </w:r>
      <w:r>
        <w:rPr>
          <w:rFonts w:ascii="黑体" w:hAnsi="黑体" w:eastAsia="黑体"/>
          <w:sz w:val="24"/>
          <w:szCs w:val="24"/>
        </w:rPr>
        <w:fldChar w:fldCharType="end"/>
      </w:r>
    </w:p>
    <w:p w14:paraId="487C36B6">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"_Toc75891145" </w:instrText>
      </w:r>
      <w:r>
        <w:fldChar w:fldCharType="separate"/>
      </w:r>
      <w:r>
        <w:rPr>
          <w:rStyle w:val="21"/>
          <w:rFonts w:ascii="黑体" w:hAnsi="黑体" w:eastAsia="黑体"/>
          <w:color w:val="auto"/>
          <w:kern w:val="44"/>
          <w:sz w:val="24"/>
          <w:szCs w:val="24"/>
        </w:rPr>
        <w:t>第一节 推进基本公共服务均等化</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_Toc75891145 \h </w:instrText>
      </w:r>
      <w:r>
        <w:rPr>
          <w:rFonts w:ascii="黑体" w:hAnsi="黑体" w:eastAsia="黑体"/>
          <w:sz w:val="24"/>
          <w:szCs w:val="24"/>
        </w:rPr>
        <w:fldChar w:fldCharType="separate"/>
      </w:r>
      <w:r>
        <w:rPr>
          <w:rFonts w:ascii="黑体" w:hAnsi="黑体" w:eastAsia="黑体"/>
          <w:sz w:val="24"/>
          <w:szCs w:val="24"/>
        </w:rPr>
        <w:t>- 50 -</w:t>
      </w:r>
      <w:r>
        <w:rPr>
          <w:rFonts w:ascii="黑体" w:hAnsi="黑体" w:eastAsia="黑体"/>
          <w:sz w:val="24"/>
          <w:szCs w:val="24"/>
        </w:rPr>
        <w:fldChar w:fldCharType="end"/>
      </w:r>
      <w:r>
        <w:rPr>
          <w:rFonts w:ascii="黑体" w:hAnsi="黑体" w:eastAsia="黑体"/>
          <w:sz w:val="24"/>
          <w:szCs w:val="24"/>
        </w:rPr>
        <w:fldChar w:fldCharType="end"/>
      </w:r>
    </w:p>
    <w:p w14:paraId="4DBB16B2">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"_Toc75891146" </w:instrText>
      </w:r>
      <w:r>
        <w:fldChar w:fldCharType="separate"/>
      </w:r>
      <w:r>
        <w:rPr>
          <w:rStyle w:val="21"/>
          <w:rFonts w:ascii="黑体" w:hAnsi="黑体" w:eastAsia="黑体"/>
          <w:color w:val="auto"/>
          <w:kern w:val="44"/>
          <w:sz w:val="24"/>
          <w:szCs w:val="24"/>
        </w:rPr>
        <w:t>第二节 推进</w:t>
      </w:r>
      <w:r>
        <w:rPr>
          <w:rStyle w:val="21"/>
          <w:rFonts w:hint="eastAsia" w:ascii="黑体" w:hAnsi="黑体" w:eastAsia="黑体"/>
          <w:color w:val="auto"/>
          <w:kern w:val="44"/>
          <w:sz w:val="24"/>
          <w:szCs w:val="24"/>
        </w:rPr>
        <w:t>基本</w:t>
      </w:r>
      <w:r>
        <w:rPr>
          <w:rStyle w:val="21"/>
          <w:rFonts w:ascii="黑体" w:hAnsi="黑体" w:eastAsia="黑体"/>
          <w:color w:val="auto"/>
          <w:kern w:val="44"/>
          <w:sz w:val="24"/>
          <w:szCs w:val="24"/>
        </w:rPr>
        <w:t>公共服务标准化</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_Toc75891146 \h </w:instrText>
      </w:r>
      <w:r>
        <w:rPr>
          <w:rFonts w:ascii="黑体" w:hAnsi="黑体" w:eastAsia="黑体"/>
          <w:sz w:val="24"/>
          <w:szCs w:val="24"/>
        </w:rPr>
        <w:fldChar w:fldCharType="separate"/>
      </w:r>
      <w:r>
        <w:rPr>
          <w:rFonts w:ascii="黑体" w:hAnsi="黑体" w:eastAsia="黑体"/>
          <w:sz w:val="24"/>
          <w:szCs w:val="24"/>
        </w:rPr>
        <w:t>- 51 -</w:t>
      </w:r>
      <w:r>
        <w:rPr>
          <w:rFonts w:ascii="黑体" w:hAnsi="黑体" w:eastAsia="黑体"/>
          <w:sz w:val="24"/>
          <w:szCs w:val="24"/>
        </w:rPr>
        <w:fldChar w:fldCharType="end"/>
      </w:r>
      <w:r>
        <w:rPr>
          <w:rFonts w:ascii="黑体" w:hAnsi="黑体" w:eastAsia="黑体"/>
          <w:sz w:val="24"/>
          <w:szCs w:val="24"/>
        </w:rPr>
        <w:fldChar w:fldCharType="end"/>
      </w:r>
    </w:p>
    <w:p w14:paraId="4BA140CD">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"_Toc75891147" </w:instrText>
      </w:r>
      <w:r>
        <w:fldChar w:fldCharType="separate"/>
      </w:r>
      <w:r>
        <w:rPr>
          <w:rStyle w:val="21"/>
          <w:rFonts w:ascii="黑体" w:hAnsi="黑体" w:eastAsia="黑体"/>
          <w:color w:val="auto"/>
          <w:kern w:val="44"/>
          <w:sz w:val="24"/>
          <w:szCs w:val="24"/>
        </w:rPr>
        <w:t>第三节 推进</w:t>
      </w:r>
      <w:r>
        <w:rPr>
          <w:rStyle w:val="21"/>
          <w:rFonts w:hint="eastAsia" w:ascii="黑体" w:hAnsi="黑体" w:eastAsia="黑体"/>
          <w:color w:val="auto"/>
          <w:kern w:val="44"/>
          <w:sz w:val="24"/>
          <w:szCs w:val="24"/>
        </w:rPr>
        <w:t>基本</w:t>
      </w:r>
      <w:r>
        <w:rPr>
          <w:rStyle w:val="21"/>
          <w:rFonts w:ascii="黑体" w:hAnsi="黑体" w:eastAsia="黑体"/>
          <w:color w:val="auto"/>
          <w:kern w:val="44"/>
          <w:sz w:val="24"/>
          <w:szCs w:val="24"/>
        </w:rPr>
        <w:t>公共服务信息化</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_Toc75891147 \h </w:instrText>
      </w:r>
      <w:r>
        <w:rPr>
          <w:rFonts w:ascii="黑体" w:hAnsi="黑体" w:eastAsia="黑体"/>
          <w:sz w:val="24"/>
          <w:szCs w:val="24"/>
        </w:rPr>
        <w:fldChar w:fldCharType="separate"/>
      </w:r>
      <w:r>
        <w:rPr>
          <w:rFonts w:ascii="黑体" w:hAnsi="黑体" w:eastAsia="黑体"/>
          <w:sz w:val="24"/>
          <w:szCs w:val="24"/>
        </w:rPr>
        <w:t>- 51 -</w:t>
      </w:r>
      <w:r>
        <w:rPr>
          <w:rFonts w:ascii="黑体" w:hAnsi="黑体" w:eastAsia="黑体"/>
          <w:sz w:val="24"/>
          <w:szCs w:val="24"/>
        </w:rPr>
        <w:fldChar w:fldCharType="end"/>
      </w:r>
      <w:r>
        <w:rPr>
          <w:rFonts w:ascii="黑体" w:hAnsi="黑体" w:eastAsia="黑体"/>
          <w:sz w:val="24"/>
          <w:szCs w:val="24"/>
        </w:rPr>
        <w:fldChar w:fldCharType="end"/>
      </w:r>
    </w:p>
    <w:p w14:paraId="547BBFAF">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"_Toc75891148" </w:instrText>
      </w:r>
      <w:r>
        <w:fldChar w:fldCharType="separate"/>
      </w:r>
      <w:r>
        <w:rPr>
          <w:rStyle w:val="21"/>
          <w:rFonts w:ascii="黑体" w:hAnsi="黑体" w:eastAsia="黑体"/>
          <w:color w:val="auto"/>
          <w:kern w:val="44"/>
          <w:sz w:val="24"/>
          <w:szCs w:val="24"/>
        </w:rPr>
        <w:t>第四节 推进</w:t>
      </w:r>
      <w:r>
        <w:rPr>
          <w:rStyle w:val="21"/>
          <w:rFonts w:hint="eastAsia" w:ascii="黑体" w:hAnsi="黑体" w:eastAsia="黑体"/>
          <w:color w:val="auto"/>
          <w:kern w:val="44"/>
          <w:sz w:val="24"/>
          <w:szCs w:val="24"/>
        </w:rPr>
        <w:t>基本</w:t>
      </w:r>
      <w:r>
        <w:rPr>
          <w:rStyle w:val="21"/>
          <w:rFonts w:ascii="黑体" w:hAnsi="黑体" w:eastAsia="黑体"/>
          <w:color w:val="auto"/>
          <w:kern w:val="44"/>
          <w:sz w:val="24"/>
          <w:szCs w:val="24"/>
        </w:rPr>
        <w:t>公共服务一体化</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_Toc75891148 \h </w:instrText>
      </w:r>
      <w:r>
        <w:rPr>
          <w:rFonts w:ascii="黑体" w:hAnsi="黑体" w:eastAsia="黑体"/>
          <w:sz w:val="24"/>
          <w:szCs w:val="24"/>
        </w:rPr>
        <w:fldChar w:fldCharType="separate"/>
      </w:r>
      <w:r>
        <w:rPr>
          <w:rFonts w:ascii="黑体" w:hAnsi="黑体" w:eastAsia="黑体"/>
          <w:sz w:val="24"/>
          <w:szCs w:val="24"/>
        </w:rPr>
        <w:t>- 53 -</w:t>
      </w:r>
      <w:r>
        <w:rPr>
          <w:rFonts w:ascii="黑体" w:hAnsi="黑体" w:eastAsia="黑体"/>
          <w:sz w:val="24"/>
          <w:szCs w:val="24"/>
        </w:rPr>
        <w:fldChar w:fldCharType="end"/>
      </w:r>
      <w:r>
        <w:rPr>
          <w:rFonts w:ascii="黑体" w:hAnsi="黑体" w:eastAsia="黑体"/>
          <w:sz w:val="24"/>
          <w:szCs w:val="24"/>
        </w:rPr>
        <w:fldChar w:fldCharType="end"/>
      </w:r>
    </w:p>
    <w:p w14:paraId="15921248">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"_Toc75891149" </w:instrText>
      </w:r>
      <w:r>
        <w:fldChar w:fldCharType="separate"/>
      </w:r>
      <w:r>
        <w:rPr>
          <w:rStyle w:val="21"/>
          <w:rFonts w:ascii="黑体" w:hAnsi="黑体" w:eastAsia="黑体"/>
          <w:color w:val="auto"/>
          <w:kern w:val="44"/>
          <w:sz w:val="24"/>
          <w:szCs w:val="24"/>
        </w:rPr>
        <w:t>第五节 推进人社公共服务队伍建设</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_Toc75891149 \h </w:instrText>
      </w:r>
      <w:r>
        <w:rPr>
          <w:rFonts w:ascii="黑体" w:hAnsi="黑体" w:eastAsia="黑体"/>
          <w:sz w:val="24"/>
          <w:szCs w:val="24"/>
        </w:rPr>
        <w:fldChar w:fldCharType="separate"/>
      </w:r>
      <w:r>
        <w:rPr>
          <w:rFonts w:ascii="黑体" w:hAnsi="黑体" w:eastAsia="黑体"/>
          <w:sz w:val="24"/>
          <w:szCs w:val="24"/>
        </w:rPr>
        <w:t>- 53 -</w:t>
      </w:r>
      <w:r>
        <w:rPr>
          <w:rFonts w:ascii="黑体" w:hAnsi="黑体" w:eastAsia="黑体"/>
          <w:sz w:val="24"/>
          <w:szCs w:val="24"/>
        </w:rPr>
        <w:fldChar w:fldCharType="end"/>
      </w:r>
      <w:r>
        <w:rPr>
          <w:rFonts w:ascii="黑体" w:hAnsi="黑体" w:eastAsia="黑体"/>
          <w:sz w:val="24"/>
          <w:szCs w:val="24"/>
        </w:rPr>
        <w:fldChar w:fldCharType="end"/>
      </w:r>
    </w:p>
    <w:p w14:paraId="4C57BF5A">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"_Toc75891150" </w:instrText>
      </w:r>
      <w:r>
        <w:fldChar w:fldCharType="separate"/>
      </w:r>
      <w:r>
        <w:rPr>
          <w:rStyle w:val="21"/>
          <w:rFonts w:ascii="黑体" w:hAnsi="黑体" w:eastAsia="黑体"/>
          <w:color w:val="auto"/>
          <w:kern w:val="44"/>
          <w:sz w:val="24"/>
          <w:szCs w:val="24"/>
        </w:rPr>
        <w:t>第六节 推进人社系统行风建设</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_Toc75891150 \h </w:instrText>
      </w:r>
      <w:r>
        <w:rPr>
          <w:rFonts w:ascii="黑体" w:hAnsi="黑体" w:eastAsia="黑体"/>
          <w:sz w:val="24"/>
          <w:szCs w:val="24"/>
        </w:rPr>
        <w:fldChar w:fldCharType="separate"/>
      </w:r>
      <w:r>
        <w:rPr>
          <w:rFonts w:ascii="黑体" w:hAnsi="黑体" w:eastAsia="黑体"/>
          <w:sz w:val="24"/>
          <w:szCs w:val="24"/>
        </w:rPr>
        <w:t>- 54 -</w:t>
      </w:r>
      <w:r>
        <w:rPr>
          <w:rFonts w:ascii="黑体" w:hAnsi="黑体" w:eastAsia="黑体"/>
          <w:sz w:val="24"/>
          <w:szCs w:val="24"/>
        </w:rPr>
        <w:fldChar w:fldCharType="end"/>
      </w:r>
      <w:r>
        <w:rPr>
          <w:rFonts w:ascii="黑体" w:hAnsi="黑体" w:eastAsia="黑体"/>
          <w:sz w:val="24"/>
          <w:szCs w:val="24"/>
        </w:rPr>
        <w:fldChar w:fldCharType="end"/>
      </w:r>
    </w:p>
    <w:p w14:paraId="080E816A">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"_Toc75891151" </w:instrText>
      </w:r>
      <w:r>
        <w:fldChar w:fldCharType="separate"/>
      </w:r>
      <w:r>
        <w:rPr>
          <w:rStyle w:val="21"/>
          <w:rFonts w:ascii="黑体" w:hAnsi="黑体" w:eastAsia="黑体"/>
          <w:color w:val="auto"/>
          <w:kern w:val="44"/>
          <w:sz w:val="24"/>
          <w:szCs w:val="24"/>
        </w:rPr>
        <w:t>第十章 强化保障措施</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_Toc75891151 \h </w:instrText>
      </w:r>
      <w:r>
        <w:rPr>
          <w:rFonts w:ascii="黑体" w:hAnsi="黑体" w:eastAsia="黑体"/>
          <w:sz w:val="24"/>
          <w:szCs w:val="24"/>
        </w:rPr>
        <w:fldChar w:fldCharType="separate"/>
      </w:r>
      <w:r>
        <w:rPr>
          <w:rFonts w:ascii="黑体" w:hAnsi="黑体" w:eastAsia="黑体"/>
          <w:sz w:val="24"/>
          <w:szCs w:val="24"/>
        </w:rPr>
        <w:t>- 55 -</w:t>
      </w:r>
      <w:r>
        <w:rPr>
          <w:rFonts w:ascii="黑体" w:hAnsi="黑体" w:eastAsia="黑体"/>
          <w:sz w:val="24"/>
          <w:szCs w:val="24"/>
        </w:rPr>
        <w:fldChar w:fldCharType="end"/>
      </w:r>
      <w:r>
        <w:rPr>
          <w:rFonts w:ascii="黑体" w:hAnsi="黑体" w:eastAsia="黑体"/>
          <w:sz w:val="24"/>
          <w:szCs w:val="24"/>
        </w:rPr>
        <w:fldChar w:fldCharType="end"/>
      </w:r>
    </w:p>
    <w:p w14:paraId="08924BE9">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"_Toc75891152" </w:instrText>
      </w:r>
      <w:r>
        <w:fldChar w:fldCharType="separate"/>
      </w:r>
      <w:r>
        <w:rPr>
          <w:rStyle w:val="21"/>
          <w:rFonts w:ascii="黑体" w:hAnsi="黑体" w:eastAsia="黑体"/>
          <w:color w:val="auto"/>
          <w:kern w:val="44"/>
          <w:sz w:val="24"/>
          <w:szCs w:val="24"/>
        </w:rPr>
        <w:t>第一节 强化规划实施</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_Toc75891152 \h </w:instrText>
      </w:r>
      <w:r>
        <w:rPr>
          <w:rFonts w:ascii="黑体" w:hAnsi="黑体" w:eastAsia="黑体"/>
          <w:sz w:val="24"/>
          <w:szCs w:val="24"/>
        </w:rPr>
        <w:fldChar w:fldCharType="separate"/>
      </w:r>
      <w:r>
        <w:rPr>
          <w:rFonts w:ascii="黑体" w:hAnsi="黑体" w:eastAsia="黑体"/>
          <w:sz w:val="24"/>
          <w:szCs w:val="24"/>
        </w:rPr>
        <w:t>- 55 -</w:t>
      </w:r>
      <w:r>
        <w:rPr>
          <w:rFonts w:ascii="黑体" w:hAnsi="黑体" w:eastAsia="黑体"/>
          <w:sz w:val="24"/>
          <w:szCs w:val="24"/>
        </w:rPr>
        <w:fldChar w:fldCharType="end"/>
      </w:r>
      <w:r>
        <w:rPr>
          <w:rFonts w:ascii="黑体" w:hAnsi="黑体" w:eastAsia="黑体"/>
          <w:sz w:val="24"/>
          <w:szCs w:val="24"/>
        </w:rPr>
        <w:fldChar w:fldCharType="end"/>
      </w:r>
    </w:p>
    <w:p w14:paraId="725934B5">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"_Toc75891153" </w:instrText>
      </w:r>
      <w:r>
        <w:fldChar w:fldCharType="separate"/>
      </w:r>
      <w:r>
        <w:rPr>
          <w:rStyle w:val="21"/>
          <w:rFonts w:ascii="黑体" w:hAnsi="黑体" w:eastAsia="黑体"/>
          <w:color w:val="auto"/>
          <w:kern w:val="44"/>
          <w:sz w:val="24"/>
          <w:szCs w:val="24"/>
        </w:rPr>
        <w:t>第二节 加强经费保障</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_Toc75891153 \h </w:instrText>
      </w:r>
      <w:r>
        <w:rPr>
          <w:rFonts w:ascii="黑体" w:hAnsi="黑体" w:eastAsia="黑体"/>
          <w:sz w:val="24"/>
          <w:szCs w:val="24"/>
        </w:rPr>
        <w:fldChar w:fldCharType="separate"/>
      </w:r>
      <w:r>
        <w:rPr>
          <w:rFonts w:ascii="黑体" w:hAnsi="黑体" w:eastAsia="黑体"/>
          <w:sz w:val="24"/>
          <w:szCs w:val="24"/>
        </w:rPr>
        <w:t>- 55 -</w:t>
      </w:r>
      <w:r>
        <w:rPr>
          <w:rFonts w:ascii="黑体" w:hAnsi="黑体" w:eastAsia="黑体"/>
          <w:sz w:val="24"/>
          <w:szCs w:val="24"/>
        </w:rPr>
        <w:fldChar w:fldCharType="end"/>
      </w:r>
      <w:r>
        <w:rPr>
          <w:rFonts w:ascii="黑体" w:hAnsi="黑体" w:eastAsia="黑体"/>
          <w:sz w:val="24"/>
          <w:szCs w:val="24"/>
        </w:rPr>
        <w:fldChar w:fldCharType="end"/>
      </w:r>
    </w:p>
    <w:p w14:paraId="1EAF248F">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"_Toc75891154" </w:instrText>
      </w:r>
      <w:r>
        <w:fldChar w:fldCharType="separate"/>
      </w:r>
      <w:r>
        <w:rPr>
          <w:rStyle w:val="21"/>
          <w:rFonts w:ascii="黑体" w:hAnsi="黑体" w:eastAsia="黑体"/>
          <w:color w:val="auto"/>
          <w:kern w:val="44"/>
          <w:sz w:val="24"/>
          <w:szCs w:val="24"/>
        </w:rPr>
        <w:t>第三节 完善监测评估</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_Toc75891154 \h </w:instrText>
      </w:r>
      <w:r>
        <w:rPr>
          <w:rFonts w:ascii="黑体" w:hAnsi="黑体" w:eastAsia="黑体"/>
          <w:sz w:val="24"/>
          <w:szCs w:val="24"/>
        </w:rPr>
        <w:fldChar w:fldCharType="separate"/>
      </w:r>
      <w:r>
        <w:rPr>
          <w:rFonts w:ascii="黑体" w:hAnsi="黑体" w:eastAsia="黑体"/>
          <w:sz w:val="24"/>
          <w:szCs w:val="24"/>
        </w:rPr>
        <w:t>- 56 -</w:t>
      </w:r>
      <w:r>
        <w:rPr>
          <w:rFonts w:ascii="黑体" w:hAnsi="黑体" w:eastAsia="黑体"/>
          <w:sz w:val="24"/>
          <w:szCs w:val="24"/>
        </w:rPr>
        <w:fldChar w:fldCharType="end"/>
      </w:r>
      <w:r>
        <w:rPr>
          <w:rFonts w:ascii="黑体" w:hAnsi="黑体" w:eastAsia="黑体"/>
          <w:sz w:val="24"/>
          <w:szCs w:val="24"/>
        </w:rPr>
        <w:fldChar w:fldCharType="end"/>
      </w:r>
    </w:p>
    <w:p w14:paraId="49DBBE72">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"_Toc75891155" </w:instrText>
      </w:r>
      <w:r>
        <w:fldChar w:fldCharType="separate"/>
      </w:r>
      <w:r>
        <w:rPr>
          <w:rStyle w:val="21"/>
          <w:rFonts w:ascii="黑体" w:hAnsi="黑体" w:eastAsia="黑体"/>
          <w:color w:val="auto"/>
          <w:kern w:val="44"/>
          <w:sz w:val="24"/>
          <w:szCs w:val="24"/>
        </w:rPr>
        <w:t>第四节 加强法治保障</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_Toc75891155 \h </w:instrText>
      </w:r>
      <w:r>
        <w:rPr>
          <w:rFonts w:ascii="黑体" w:hAnsi="黑体" w:eastAsia="黑体"/>
          <w:sz w:val="24"/>
          <w:szCs w:val="24"/>
        </w:rPr>
        <w:fldChar w:fldCharType="separate"/>
      </w:r>
      <w:r>
        <w:rPr>
          <w:rFonts w:ascii="黑体" w:hAnsi="黑体" w:eastAsia="黑体"/>
          <w:sz w:val="24"/>
          <w:szCs w:val="24"/>
        </w:rPr>
        <w:t>- 56 -</w:t>
      </w:r>
      <w:r>
        <w:rPr>
          <w:rFonts w:ascii="黑体" w:hAnsi="黑体" w:eastAsia="黑体"/>
          <w:sz w:val="24"/>
          <w:szCs w:val="24"/>
        </w:rPr>
        <w:fldChar w:fldCharType="end"/>
      </w:r>
      <w:r>
        <w:rPr>
          <w:rFonts w:ascii="黑体" w:hAnsi="黑体" w:eastAsia="黑体"/>
          <w:sz w:val="24"/>
          <w:szCs w:val="24"/>
        </w:rPr>
        <w:fldChar w:fldCharType="end"/>
      </w:r>
    </w:p>
    <w:p w14:paraId="77D5FA15">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"_Toc75891156" </w:instrText>
      </w:r>
      <w:r>
        <w:fldChar w:fldCharType="separate"/>
      </w:r>
      <w:r>
        <w:rPr>
          <w:rStyle w:val="21"/>
          <w:rFonts w:ascii="黑体" w:hAnsi="黑体" w:eastAsia="黑体"/>
          <w:color w:val="auto"/>
          <w:kern w:val="44"/>
          <w:sz w:val="24"/>
          <w:szCs w:val="24"/>
        </w:rPr>
        <w:t>第五节 加强舆论宣传</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_Toc75891156 \h </w:instrText>
      </w:r>
      <w:r>
        <w:rPr>
          <w:rFonts w:ascii="黑体" w:hAnsi="黑体" w:eastAsia="黑体"/>
          <w:sz w:val="24"/>
          <w:szCs w:val="24"/>
        </w:rPr>
        <w:fldChar w:fldCharType="separate"/>
      </w:r>
      <w:r>
        <w:rPr>
          <w:rFonts w:ascii="黑体" w:hAnsi="黑体" w:eastAsia="黑体"/>
          <w:sz w:val="24"/>
          <w:szCs w:val="24"/>
        </w:rPr>
        <w:t>- 56 -</w:t>
      </w:r>
      <w:r>
        <w:rPr>
          <w:rFonts w:ascii="黑体" w:hAnsi="黑体" w:eastAsia="黑体"/>
          <w:sz w:val="24"/>
          <w:szCs w:val="24"/>
        </w:rPr>
        <w:fldChar w:fldCharType="end"/>
      </w:r>
      <w:r>
        <w:rPr>
          <w:rFonts w:ascii="黑体" w:hAnsi="黑体" w:eastAsia="黑体"/>
          <w:sz w:val="24"/>
          <w:szCs w:val="24"/>
        </w:rPr>
        <w:fldChar w:fldCharType="end"/>
      </w:r>
    </w:p>
    <w:p w14:paraId="64B13322">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"_Toc75891157" </w:instrText>
      </w:r>
      <w:r>
        <w:fldChar w:fldCharType="separate"/>
      </w:r>
      <w:r>
        <w:rPr>
          <w:rStyle w:val="21"/>
          <w:rFonts w:ascii="黑体" w:hAnsi="黑体" w:eastAsia="黑体"/>
          <w:color w:val="auto"/>
          <w:kern w:val="44"/>
          <w:sz w:val="24"/>
          <w:szCs w:val="24"/>
        </w:rPr>
        <w:t>附录：</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_Toc75891157 \h </w:instrText>
      </w:r>
      <w:r>
        <w:rPr>
          <w:rFonts w:ascii="黑体" w:hAnsi="黑体" w:eastAsia="黑体"/>
          <w:sz w:val="24"/>
          <w:szCs w:val="24"/>
        </w:rPr>
        <w:fldChar w:fldCharType="separate"/>
      </w:r>
      <w:r>
        <w:rPr>
          <w:rFonts w:ascii="黑体" w:hAnsi="黑体" w:eastAsia="黑体"/>
          <w:sz w:val="24"/>
          <w:szCs w:val="24"/>
        </w:rPr>
        <w:t>- 57 -</w:t>
      </w:r>
      <w:r>
        <w:rPr>
          <w:rFonts w:ascii="黑体" w:hAnsi="黑体" w:eastAsia="黑体"/>
          <w:sz w:val="24"/>
          <w:szCs w:val="24"/>
        </w:rPr>
        <w:fldChar w:fldCharType="end"/>
      </w:r>
      <w:r>
        <w:rPr>
          <w:rFonts w:ascii="黑体" w:hAnsi="黑体" w:eastAsia="黑体"/>
          <w:sz w:val="24"/>
          <w:szCs w:val="24"/>
        </w:rPr>
        <w:fldChar w:fldCharType="end"/>
      </w:r>
    </w:p>
    <w:p w14:paraId="012A6AE4">
      <w:r>
        <w:rPr>
          <w:rFonts w:hint="eastAsia" w:ascii="黑体" w:hAnsi="黑体" w:eastAsia="黑体" w:cs="黑体"/>
          <w:sz w:val="24"/>
          <w:szCs w:val="24"/>
          <w:lang w:val="zh-CN"/>
        </w:rPr>
        <w:fldChar w:fldCharType="end"/>
      </w:r>
    </w:p>
    <w:p w14:paraId="4854805D">
      <w:pPr>
        <w:pStyle w:val="2"/>
      </w:pPr>
    </w:p>
    <w:p w14:paraId="7C61A4E5">
      <w:pPr>
        <w:pStyle w:val="3"/>
        <w:rPr>
          <w:rFonts w:hint="eastAsia" w:ascii="黑体" w:hAnsi="黑体" w:eastAsia="黑体" w:cs="黑体"/>
          <w:b w:val="0"/>
          <w:bCs w:val="0"/>
          <w:sz w:val="44"/>
          <w:szCs w:val="44"/>
        </w:rPr>
      </w:pPr>
      <w:r>
        <w:rPr>
          <w:rFonts w:hint="eastAsia" w:ascii="黑体" w:hAnsi="黑体" w:eastAsia="黑体" w:cs="黑体"/>
          <w:b w:val="0"/>
          <w:bCs w:val="0"/>
          <w:sz w:val="44"/>
          <w:szCs w:val="44"/>
        </w:rPr>
        <w:t>前言</w:t>
      </w:r>
    </w:p>
    <w:p w14:paraId="1DA1587F"/>
    <w:p w14:paraId="299EB52A">
      <w:pPr>
        <w:spacing w:line="600" w:lineRule="exact"/>
        <w:ind w:firstLine="0"/>
        <w:rPr>
          <w:kern w:val="44"/>
          <w:szCs w:val="44"/>
        </w:rPr>
      </w:pPr>
      <w:r>
        <w:rPr>
          <w:rFonts w:hint="eastAsia"/>
          <w:kern w:val="44"/>
          <w:szCs w:val="44"/>
          <w:lang w:val="en-US" w:eastAsia="zh-CN"/>
        </w:rPr>
        <w:t xml:space="preserve">    </w:t>
      </w:r>
      <w:r>
        <w:rPr>
          <w:rFonts w:hint="eastAsia"/>
          <w:kern w:val="44"/>
          <w:szCs w:val="44"/>
        </w:rPr>
        <w:t>“十四五”时期是我国全面建成小康社会、实现第一个百年奋斗目标之后，乘势而上开启全面建设社会主义现代化国家新征程、向第二个百年奋斗目标进军的第一个五年，是我省开启全方位高质量发展超越的开局时期，也是我市深入实施“3</w:t>
      </w:r>
      <w:r>
        <w:rPr>
          <w:kern w:val="44"/>
          <w:szCs w:val="44"/>
        </w:rPr>
        <w:t>820</w:t>
      </w:r>
      <w:r>
        <w:rPr>
          <w:rFonts w:hint="eastAsia"/>
          <w:kern w:val="44"/>
          <w:szCs w:val="44"/>
        </w:rPr>
        <w:t>”战略工程、加快建设现代化国际城市的关键时期。</w:t>
      </w:r>
      <w:r>
        <w:rPr>
          <w:kern w:val="44"/>
          <w:szCs w:val="44"/>
        </w:rPr>
        <w:t>为促进我市人力资源和社会保障事业全面协调可持续发展，更好服务经济社会发展大局，</w:t>
      </w:r>
      <w:r>
        <w:rPr>
          <w:rFonts w:hint="eastAsia"/>
          <w:kern w:val="44"/>
          <w:szCs w:val="44"/>
        </w:rPr>
        <w:t>根据《福州市国民经济和社会发展第十四个五年规划》，衔接《福建省“十四五”人力资源和社会保障事业发展专项规划》，特</w:t>
      </w:r>
      <w:r>
        <w:rPr>
          <w:kern w:val="44"/>
          <w:szCs w:val="44"/>
        </w:rPr>
        <w:t>制定本专项规划。</w:t>
      </w:r>
    </w:p>
    <w:p w14:paraId="50C006B0">
      <w:pPr>
        <w:spacing w:line="600" w:lineRule="exact"/>
        <w:ind w:firstLine="600"/>
        <w:rPr>
          <w:kern w:val="44"/>
          <w:szCs w:val="44"/>
        </w:rPr>
      </w:pPr>
      <w:r>
        <w:rPr>
          <w:rFonts w:hint="eastAsia"/>
          <w:kern w:val="44"/>
          <w:szCs w:val="44"/>
        </w:rPr>
        <w:t>本《规划》主要阐明我市“十四五”时期人力资源和社会保障的指导思想、基本原则、发展目标、主要任务和重大政策措施，是指导未来五年全市人力资源和社会保障事业发展的指导性文件。</w:t>
      </w:r>
    </w:p>
    <w:p w14:paraId="0B61FECE">
      <w:pPr>
        <w:spacing w:line="600" w:lineRule="exact"/>
        <w:ind w:firstLine="636" w:firstLineChars="200"/>
        <w:rPr>
          <w:kern w:val="44"/>
          <w:szCs w:val="44"/>
        </w:rPr>
      </w:pPr>
      <w:r>
        <w:rPr>
          <w:rFonts w:hint="eastAsia"/>
          <w:kern w:val="44"/>
          <w:szCs w:val="44"/>
        </w:rPr>
        <w:t>规划基期为</w:t>
      </w:r>
      <w:r>
        <w:rPr>
          <w:kern w:val="44"/>
          <w:szCs w:val="44"/>
        </w:rPr>
        <w:t>20</w:t>
      </w:r>
      <w:r>
        <w:rPr>
          <w:rFonts w:hint="eastAsia"/>
          <w:kern w:val="44"/>
          <w:szCs w:val="44"/>
        </w:rPr>
        <w:t>20年，规划期为</w:t>
      </w:r>
      <w:r>
        <w:rPr>
          <w:kern w:val="44"/>
          <w:szCs w:val="44"/>
        </w:rPr>
        <w:t>20</w:t>
      </w:r>
      <w:r>
        <w:rPr>
          <w:rFonts w:hint="eastAsia"/>
          <w:kern w:val="44"/>
          <w:szCs w:val="44"/>
        </w:rPr>
        <w:t>21</w:t>
      </w:r>
      <w:r>
        <w:rPr>
          <w:rFonts w:hint="eastAsia"/>
          <w:kern w:val="44"/>
          <w:szCs w:val="44"/>
          <w:lang w:eastAsia="zh-CN"/>
        </w:rPr>
        <w:t>—</w:t>
      </w:r>
      <w:r>
        <w:rPr>
          <w:kern w:val="44"/>
          <w:szCs w:val="44"/>
        </w:rPr>
        <w:t>202</w:t>
      </w:r>
      <w:r>
        <w:rPr>
          <w:rFonts w:hint="eastAsia"/>
          <w:kern w:val="44"/>
          <w:szCs w:val="44"/>
        </w:rPr>
        <w:t>5年，“十四五”时期人力资源社会保障主要指标按1000万左右常住人口进行设定。</w:t>
      </w:r>
    </w:p>
    <w:p w14:paraId="237AF9A2">
      <w:pPr>
        <w:keepNext/>
        <w:keepLines/>
        <w:spacing w:line="520" w:lineRule="exact"/>
        <w:jc w:val="center"/>
        <w:outlineLvl w:val="0"/>
        <w:rPr>
          <w:rFonts w:ascii="黑体" w:hAnsi="黑体" w:eastAsia="黑体"/>
          <w:kern w:val="44"/>
          <w:szCs w:val="32"/>
        </w:rPr>
      </w:pPr>
      <w:r>
        <w:rPr>
          <w:rFonts w:hint="eastAsia"/>
        </w:rPr>
        <w:br w:type="page"/>
      </w:r>
      <w:r>
        <w:rPr>
          <w:rFonts w:hint="eastAsia" w:ascii="黑体" w:hAnsi="黑体" w:eastAsia="黑体"/>
          <w:kern w:val="44"/>
          <w:szCs w:val="32"/>
        </w:rPr>
        <w:t>第一章</w:t>
      </w:r>
      <w:r>
        <w:rPr>
          <w:rFonts w:hint="eastAsia" w:ascii="黑体" w:hAnsi="黑体" w:eastAsia="黑体"/>
          <w:kern w:val="44"/>
          <w:szCs w:val="32"/>
          <w:lang w:val="en-US" w:eastAsia="zh-CN"/>
        </w:rPr>
        <w:t xml:space="preserve"> </w:t>
      </w:r>
      <w:r>
        <w:rPr>
          <w:rFonts w:hint="eastAsia" w:ascii="黑体" w:hAnsi="黑体" w:eastAsia="黑体"/>
          <w:kern w:val="44"/>
          <w:szCs w:val="32"/>
        </w:rPr>
        <w:t>“十四五”规划基础和面临形势</w:t>
      </w:r>
    </w:p>
    <w:p w14:paraId="21A005FF">
      <w:pPr>
        <w:spacing w:line="520" w:lineRule="exact"/>
        <w:rPr>
          <w:rFonts w:ascii="仿宋" w:hAnsi="仿宋" w:eastAsia="仿宋"/>
          <w:szCs w:val="32"/>
        </w:rPr>
      </w:pPr>
    </w:p>
    <w:p w14:paraId="36B2366E">
      <w:pPr>
        <w:spacing w:line="600" w:lineRule="exact"/>
        <w:ind w:firstLine="636" w:firstLineChars="200"/>
        <w:rPr>
          <w:rFonts w:hAnsi="仿宋"/>
          <w:szCs w:val="32"/>
        </w:rPr>
      </w:pPr>
      <w:r>
        <w:rPr>
          <w:rFonts w:hAnsi="仿宋"/>
          <w:szCs w:val="32"/>
        </w:rPr>
        <w:t>“十三五”</w:t>
      </w:r>
      <w:r>
        <w:rPr>
          <w:rFonts w:hint="eastAsia" w:hAnsi="仿宋"/>
          <w:szCs w:val="32"/>
        </w:rPr>
        <w:t>以</w:t>
      </w:r>
      <w:r>
        <w:rPr>
          <w:rFonts w:hAnsi="仿宋"/>
          <w:szCs w:val="32"/>
        </w:rPr>
        <w:t>来，</w:t>
      </w:r>
      <w:r>
        <w:rPr>
          <w:rFonts w:hint="eastAsia" w:hAnsi="仿宋"/>
          <w:szCs w:val="32"/>
        </w:rPr>
        <w:t>市委、市政府高度重视人力资源和社会保障工作，做出了一系列重大决策部署，</w:t>
      </w:r>
      <w:r>
        <w:rPr>
          <w:rFonts w:hint="eastAsia" w:hAnsi="仿宋"/>
          <w:szCs w:val="32"/>
          <w:lang w:eastAsia="zh-CN"/>
        </w:rPr>
        <w:t>始终</w:t>
      </w:r>
      <w:r>
        <w:rPr>
          <w:rFonts w:hAnsi="仿宋"/>
          <w:szCs w:val="32"/>
        </w:rPr>
        <w:t>坚持稳中求进、改革创新、攻坚克难，全面完成了“十三五”时期各项任务</w:t>
      </w:r>
      <w:r>
        <w:rPr>
          <w:rFonts w:hint="eastAsia" w:hAnsi="仿宋"/>
          <w:szCs w:val="32"/>
        </w:rPr>
        <w:t>，为“十四五”人力资源和社会保障事业发展打下坚实基础。“十四五”时期，我市要</w:t>
      </w:r>
      <w:r>
        <w:rPr>
          <w:rFonts w:hAnsi="仿宋"/>
          <w:szCs w:val="32"/>
        </w:rPr>
        <w:t>准确把握</w:t>
      </w:r>
      <w:r>
        <w:rPr>
          <w:rFonts w:hint="eastAsia" w:hAnsi="仿宋"/>
          <w:szCs w:val="32"/>
        </w:rPr>
        <w:t>国</w:t>
      </w:r>
      <w:r>
        <w:rPr>
          <w:rFonts w:hAnsi="仿宋"/>
          <w:szCs w:val="32"/>
        </w:rPr>
        <w:t>内外发展环境的深刻变化，积极适应经济发展新常态，</w:t>
      </w:r>
      <w:r>
        <w:rPr>
          <w:rFonts w:hint="eastAsia" w:hAnsi="仿宋"/>
          <w:szCs w:val="32"/>
        </w:rPr>
        <w:t>深化改革、抢抓机遇，更新理念、激发动力，以务实的精神补短板，以创新的思维促改革，以赶超的勇气谋发展，努力推进人力资源和社会保障事业再上新台阶，为全方位推进高质量发展超越，加快建设现代化国际城市建设做出新的更大贡献。</w:t>
      </w:r>
    </w:p>
    <w:p w14:paraId="335D1B66">
      <w:pPr>
        <w:spacing w:line="520" w:lineRule="exact"/>
        <w:ind w:firstLine="646"/>
        <w:rPr>
          <w:rFonts w:ascii="仿宋" w:hAnsi="仿宋" w:eastAsia="仿宋"/>
          <w:sz w:val="30"/>
          <w:szCs w:val="30"/>
        </w:rPr>
      </w:pPr>
    </w:p>
    <w:p w14:paraId="22DB59F4">
      <w:pPr>
        <w:keepNext/>
        <w:keepLines/>
        <w:spacing w:line="520" w:lineRule="exact"/>
        <w:jc w:val="center"/>
        <w:outlineLvl w:val="0"/>
        <w:rPr>
          <w:rFonts w:ascii="黑体" w:hAnsi="黑体" w:eastAsia="黑体"/>
          <w:kern w:val="44"/>
          <w:sz w:val="32"/>
          <w:szCs w:val="32"/>
        </w:rPr>
      </w:pPr>
      <w:r>
        <w:rPr>
          <w:rFonts w:hint="eastAsia" w:ascii="黑体" w:hAnsi="黑体" w:eastAsia="黑体"/>
          <w:kern w:val="44"/>
          <w:sz w:val="32"/>
          <w:szCs w:val="32"/>
        </w:rPr>
        <w:t>第一节 规划基础</w:t>
      </w:r>
    </w:p>
    <w:p w14:paraId="28BF7E6D">
      <w:pPr>
        <w:spacing w:line="600" w:lineRule="exact"/>
        <w:ind w:firstLine="646"/>
        <w:rPr>
          <w:rFonts w:ascii="仿宋" w:hAnsi="仿宋" w:eastAsia="仿宋"/>
          <w:szCs w:val="32"/>
        </w:rPr>
      </w:pPr>
    </w:p>
    <w:p w14:paraId="56256FC3">
      <w:pPr>
        <w:spacing w:line="600" w:lineRule="exact"/>
        <w:ind w:firstLine="636" w:firstLineChars="200"/>
        <w:rPr>
          <w:rFonts w:hAnsi="仿宋"/>
          <w:szCs w:val="32"/>
        </w:rPr>
      </w:pPr>
      <w:r>
        <w:rPr>
          <w:rFonts w:hint="eastAsia" w:hAnsi="仿宋"/>
          <w:szCs w:val="32"/>
        </w:rPr>
        <w:t>“十三五”时期，我市经济总量持续增长、综合实力持续提升、</w:t>
      </w:r>
      <w:r>
        <w:rPr>
          <w:rFonts w:hAnsi="仿宋"/>
          <w:szCs w:val="32"/>
        </w:rPr>
        <w:t>城乡面貌发生巨变、</w:t>
      </w:r>
      <w:r>
        <w:rPr>
          <w:rFonts w:hint="eastAsia" w:hAnsi="仿宋"/>
          <w:szCs w:val="32"/>
        </w:rPr>
        <w:t>社会事业持续繁荣、人民群众获得感持续增强，人力资源和社会保障事业加快改革、服务大局取得突破性成效。全市各级人力资源和社会保障部门以习近平新时代中国特色社会主义思想为指导，认真贯彻落实《福州市“十三五”人力资源和社会保障体系建设专项规划》，坚持以人民为中心的发展思想，千方百计扩大就业，加快完善社会保障体系，统筹各类人才队伍建设，深化人事制度改革，努力构建和谐劳动关系，实施人社精准扶贫，“十三五”规划各项目标任务顺利完成，为“十四五”发展奠定坚实基础。</w:t>
      </w:r>
    </w:p>
    <w:p w14:paraId="252350FD">
      <w:pPr>
        <w:spacing w:line="600" w:lineRule="exact"/>
        <w:ind w:firstLine="636" w:firstLineChars="200"/>
        <w:rPr>
          <w:rFonts w:hAnsi="仿宋"/>
          <w:bCs/>
          <w:szCs w:val="32"/>
        </w:rPr>
      </w:pPr>
      <w:r>
        <w:rPr>
          <w:rFonts w:hint="eastAsia" w:hAnsi="仿宋"/>
          <w:b/>
          <w:szCs w:val="32"/>
        </w:rPr>
        <w:t>——多项工作走在全省乃至全国前列。</w:t>
      </w:r>
      <w:r>
        <w:rPr>
          <w:rFonts w:hint="eastAsia" w:hAnsi="仿宋"/>
          <w:bCs/>
          <w:szCs w:val="32"/>
        </w:rPr>
        <w:t>福</w:t>
      </w:r>
      <w:r>
        <w:rPr>
          <w:rFonts w:hint="eastAsia" w:hAnsi="仿宋"/>
          <w:szCs w:val="32"/>
        </w:rPr>
        <w:t>州定西扶贫劳务协作入选《人民日报》及人社部优秀减贫案例</w:t>
      </w:r>
      <w:r>
        <w:rPr>
          <w:rFonts w:hint="eastAsia" w:hAnsi="仿宋"/>
          <w:szCs w:val="32"/>
          <w:lang w:eastAsia="zh-CN"/>
        </w:rPr>
        <w:t>，</w:t>
      </w:r>
      <w:r>
        <w:rPr>
          <w:rFonts w:hint="eastAsia" w:hAnsi="仿宋"/>
          <w:szCs w:val="32"/>
        </w:rPr>
        <w:t>中组部“不忘初心、牢记使命”主题教育丛书及中央党校、国家行政学院教学案例</w:t>
      </w:r>
      <w:r>
        <w:rPr>
          <w:rFonts w:hint="eastAsia" w:hAnsi="仿宋"/>
          <w:szCs w:val="32"/>
          <w:lang w:eastAsia="zh-CN"/>
        </w:rPr>
        <w:t>，</w:t>
      </w:r>
      <w:r>
        <w:rPr>
          <w:rFonts w:hint="eastAsia" w:hAnsi="仿宋"/>
          <w:szCs w:val="32"/>
        </w:rPr>
        <w:t>联合</w:t>
      </w:r>
      <w:r>
        <w:rPr>
          <w:rFonts w:hint="eastAsia" w:hAnsi="仿宋"/>
          <w:bCs/>
          <w:szCs w:val="32"/>
        </w:rPr>
        <w:t>国“全球减贫案例”。福州成为全国首批电子社保卡试点城市，首张全国统一电子社保卡在福州率先签发。福州成为列入国家构建和谐劳动关系综合配套改革试点全国八个城市中唯一</w:t>
      </w:r>
      <w:r>
        <w:rPr>
          <w:rFonts w:hint="eastAsia" w:hAnsi="仿宋"/>
          <w:bCs/>
          <w:szCs w:val="32"/>
          <w:lang w:eastAsia="zh-CN"/>
        </w:rPr>
        <w:t>的</w:t>
      </w:r>
      <w:r>
        <w:rPr>
          <w:rFonts w:hint="eastAsia" w:hAnsi="仿宋"/>
          <w:bCs/>
          <w:szCs w:val="32"/>
        </w:rPr>
        <w:t>省会城市。2017年，</w:t>
      </w:r>
      <w:r>
        <w:rPr>
          <w:rFonts w:hint="eastAsia" w:hAnsi="宋体"/>
          <w:szCs w:val="32"/>
        </w:rPr>
        <w:t>市人社局获评“全国人社系统先进集体”</w:t>
      </w:r>
      <w:r>
        <w:rPr>
          <w:rFonts w:hint="eastAsia" w:hAnsi="仿宋"/>
          <w:bCs/>
          <w:szCs w:val="32"/>
        </w:rPr>
        <w:t>；</w:t>
      </w:r>
      <w:r>
        <w:rPr>
          <w:rFonts w:hint="eastAsia" w:hAnsi="宋体"/>
          <w:szCs w:val="32"/>
        </w:rPr>
        <w:t>2020年，市人社局被国务院农民工工作领导小组评为“全国农民工先进集体”</w:t>
      </w:r>
      <w:r>
        <w:rPr>
          <w:rFonts w:hint="eastAsia" w:hAnsi="仿宋"/>
          <w:bCs/>
          <w:szCs w:val="32"/>
        </w:rPr>
        <w:t>，同时还被甘肃省委、省政府评为“甘肃省脱贫攻坚先进集体”。省对市就业目标责任制考核、人才发展绩效考核、构建和谐劳动关系综治考评连续五年排名全省第一。</w:t>
      </w:r>
    </w:p>
    <w:p w14:paraId="4937657A">
      <w:pPr>
        <w:spacing w:line="600" w:lineRule="exact"/>
        <w:ind w:firstLine="636" w:firstLineChars="200"/>
        <w:rPr>
          <w:rFonts w:hAnsi="仿宋"/>
          <w:szCs w:val="32"/>
        </w:rPr>
      </w:pPr>
      <w:r>
        <w:rPr>
          <w:rFonts w:hint="eastAsia" w:hAnsi="仿宋"/>
          <w:b/>
          <w:szCs w:val="32"/>
        </w:rPr>
        <w:t>——稳定和扩大就业成效明显。</w:t>
      </w:r>
      <w:r>
        <w:rPr>
          <w:rFonts w:hint="eastAsia" w:hAnsi="仿宋"/>
          <w:szCs w:val="32"/>
        </w:rPr>
        <w:t>坚持就业优先战略，始终“稳就业、保就业”放在更加突出的位置，制定实施新一轮具有福州特色的积极就业政策，不断做大就业增量、盘活就业存量、引导就业流量，推动实现更充分更高质量就业，有效防控失业风险，就业局势保持稳定。着力推进城乡基本公共服务均等化，市、县（市）区、街道（乡镇）、社区（村）四级公共就业创业服务组织体系已初步形成。全市城镇新增就业人数累计达</w:t>
      </w:r>
      <w:r>
        <w:rPr>
          <w:rFonts w:hAnsi="仿宋"/>
          <w:szCs w:val="32"/>
        </w:rPr>
        <w:t>67.86万人，超额完成“十三五”66万人的目标任务；实现城镇登记失业人员再就业累计7.41万人，完成“十三五”目标任务4万人的185.22%；期末城镇登记失业率为3.0%，控制在“十三五”目标3.5%以内；农业劳动力转移就业累计达19.58万人，完成“十三五”目标任务16万人的122.4%。</w:t>
      </w:r>
    </w:p>
    <w:p w14:paraId="610A3FEF">
      <w:pPr>
        <w:spacing w:line="600" w:lineRule="exact"/>
        <w:ind w:firstLine="636" w:firstLineChars="200"/>
        <w:rPr>
          <w:rFonts w:hAnsi="仿宋"/>
          <w:bCs/>
          <w:szCs w:val="32"/>
        </w:rPr>
      </w:pPr>
      <w:r>
        <w:rPr>
          <w:rFonts w:hint="eastAsia" w:hAnsi="仿宋"/>
          <w:b/>
          <w:szCs w:val="32"/>
        </w:rPr>
        <w:t>——社会保障体系不断健全。</w:t>
      </w:r>
      <w:r>
        <w:rPr>
          <w:rFonts w:hint="eastAsia" w:hAnsi="仿宋"/>
          <w:szCs w:val="32"/>
        </w:rPr>
        <w:t>落实中央、省政策，</w:t>
      </w:r>
      <w:r>
        <w:rPr>
          <w:rFonts w:hAnsi="仿宋"/>
          <w:szCs w:val="32"/>
        </w:rPr>
        <w:t>2019、2020年为全市7万家企业减免、降低社保费约70亿元。</w:t>
      </w:r>
      <w:r>
        <w:rPr>
          <w:rFonts w:hint="eastAsia" w:hAnsi="仿宋"/>
          <w:bCs/>
          <w:szCs w:val="32"/>
        </w:rPr>
        <w:t>实施全民参保计划，推进社会保险法定人群全覆盖，社会保险覆盖面不断扩大。“十三五”规划目标顺利完成，至2020年底，全市城镇职工基本养老保险、城乡居民基本养老保险、失业保险、工伤保险参保人数分别达到209.09万人、229.65万人、141万人、181.4万人，基本养老保险参保率达95.6%。稳步提高养老保险待遇水平，连续5年以不低于5%的幅度同步调整企业和机关事业退休人员养老金，城乡居民基本养老保险基础养老金从“十二五”期末每人每月100元提高到190元（比省定标准高出60元）。工伤预防、补偿、康复工作取得突破性进展，健全完善“三位一体”的保障机制。</w:t>
      </w:r>
    </w:p>
    <w:p w14:paraId="1F923D31">
      <w:pPr>
        <w:spacing w:line="600" w:lineRule="exact"/>
        <w:ind w:firstLine="636" w:firstLineChars="200"/>
        <w:rPr>
          <w:rFonts w:hAnsi="仿宋"/>
          <w:szCs w:val="32"/>
        </w:rPr>
      </w:pPr>
      <w:r>
        <w:rPr>
          <w:rFonts w:hint="eastAsia" w:hAnsi="仿宋"/>
          <w:b/>
          <w:szCs w:val="32"/>
        </w:rPr>
        <w:t>——人才队伍建设得到显著提升。</w:t>
      </w:r>
      <w:r>
        <w:rPr>
          <w:rFonts w:hint="eastAsia" w:hAnsi="仿宋"/>
          <w:szCs w:val="32"/>
        </w:rPr>
        <w:t>实施人才优先战略，围绕推动福州新一轮经济创新发展，制定出台了《福州市高层次人才七条支持措施》《福州市人才共有产权住房实施方案》《关于鼓励高校毕业生来榕就业创业若干措施》等高层次人才、基础型人才引、育、培优惠政策</w:t>
      </w:r>
      <w:r>
        <w:rPr>
          <w:rFonts w:hAnsi="仿宋"/>
          <w:szCs w:val="32"/>
        </w:rPr>
        <w:t>40多份，在全省首创人才共有产权房制度，在全省率先放开高校毕业生和引进人才落户限制，着力引进培养高层次、高技能人才，优化人才服务。截至2020年底，全市共有市级及以上人才总量近1.2万人，其中引进国家</w:t>
      </w:r>
      <w:r>
        <w:rPr>
          <w:rFonts w:hint="eastAsia" w:hAnsi="仿宋"/>
          <w:szCs w:val="32"/>
        </w:rPr>
        <w:t>级重大人才计划</w:t>
      </w:r>
      <w:r>
        <w:rPr>
          <w:rFonts w:hAnsi="仿宋"/>
          <w:szCs w:val="32"/>
        </w:rPr>
        <w:t>33人，省“百人计划”120人（团队），省引进高层次ABC类人才711人，省工科类专业人才3990人、“双一流”高校毕业生或紧缺急需毕业生3470人；培养国家“万人计划”25人，享受国务院政府特殊津贴专家139人，“新世纪百千万人才工程”国家级2人、省级25人，省青年拔尖人才4人，省百千万领军人才1人，建设企业（园区）博士后科研工作站29家（含分站）。</w:t>
      </w:r>
      <w:r>
        <w:rPr>
          <w:rFonts w:hint="eastAsia" w:hAnsi="仿宋"/>
          <w:szCs w:val="32"/>
        </w:rPr>
        <w:t>全市技能人才</w:t>
      </w:r>
      <w:r>
        <w:rPr>
          <w:rFonts w:hAnsi="仿宋"/>
          <w:szCs w:val="32"/>
        </w:rPr>
        <w:t>125.8万人，其中培养评价高技能人才24.9万人，享受国务院政府特殊津贴高技能人才11人</w:t>
      </w:r>
      <w:r>
        <w:rPr>
          <w:rFonts w:hint="eastAsia" w:hAnsi="仿宋"/>
          <w:szCs w:val="32"/>
        </w:rPr>
        <w:t>，全国技术能手</w:t>
      </w:r>
      <w:r>
        <w:rPr>
          <w:rFonts w:hAnsi="仿宋"/>
          <w:szCs w:val="32"/>
        </w:rPr>
        <w:t>40</w:t>
      </w:r>
      <w:r>
        <w:rPr>
          <w:rFonts w:hint="eastAsia" w:hAnsi="仿宋"/>
          <w:szCs w:val="32"/>
        </w:rPr>
        <w:t>人，省级技能大师</w:t>
      </w:r>
      <w:r>
        <w:rPr>
          <w:rFonts w:hAnsi="仿宋"/>
          <w:szCs w:val="32"/>
        </w:rPr>
        <w:t>11</w:t>
      </w:r>
      <w:r>
        <w:rPr>
          <w:rFonts w:hint="eastAsia" w:hAnsi="仿宋"/>
          <w:szCs w:val="32"/>
        </w:rPr>
        <w:t>人，福州市首席高级技师</w:t>
      </w:r>
      <w:r>
        <w:rPr>
          <w:rFonts w:hAnsi="仿宋"/>
          <w:szCs w:val="32"/>
        </w:rPr>
        <w:t>30</w:t>
      </w:r>
      <w:r>
        <w:rPr>
          <w:rFonts w:hint="eastAsia" w:hAnsi="仿宋"/>
          <w:szCs w:val="32"/>
        </w:rPr>
        <w:t>人，福州市优秀高技能人才</w:t>
      </w:r>
      <w:r>
        <w:rPr>
          <w:rFonts w:hAnsi="仿宋"/>
          <w:szCs w:val="32"/>
        </w:rPr>
        <w:t>90</w:t>
      </w:r>
      <w:r>
        <w:rPr>
          <w:rFonts w:hint="eastAsia" w:hAnsi="仿宋"/>
          <w:szCs w:val="32"/>
        </w:rPr>
        <w:t>人。建成国家级高技能人才培训基地建设项目</w:t>
      </w:r>
      <w:r>
        <w:rPr>
          <w:rFonts w:hAnsi="仿宋"/>
          <w:szCs w:val="32"/>
        </w:rPr>
        <w:t>8</w:t>
      </w:r>
      <w:r>
        <w:rPr>
          <w:rFonts w:hint="eastAsia" w:hAnsi="仿宋"/>
          <w:szCs w:val="32"/>
        </w:rPr>
        <w:t>个，国家级技能大师工作室建设项目</w:t>
      </w:r>
      <w:r>
        <w:rPr>
          <w:rFonts w:hAnsi="仿宋"/>
          <w:szCs w:val="32"/>
        </w:rPr>
        <w:t>9</w:t>
      </w:r>
      <w:r>
        <w:rPr>
          <w:rFonts w:hint="eastAsia" w:hAnsi="仿宋"/>
          <w:szCs w:val="32"/>
        </w:rPr>
        <w:t>个，福建省技能大师工作室建设项目</w:t>
      </w:r>
      <w:r>
        <w:rPr>
          <w:rFonts w:hAnsi="仿宋"/>
          <w:szCs w:val="32"/>
        </w:rPr>
        <w:t>100</w:t>
      </w:r>
      <w:r>
        <w:rPr>
          <w:rFonts w:hint="eastAsia" w:hAnsi="仿宋"/>
          <w:szCs w:val="32"/>
        </w:rPr>
        <w:t>个，市级技能大师工作室</w:t>
      </w:r>
      <w:r>
        <w:rPr>
          <w:rFonts w:hAnsi="仿宋"/>
          <w:szCs w:val="32"/>
        </w:rPr>
        <w:t>56</w:t>
      </w:r>
      <w:r>
        <w:rPr>
          <w:rFonts w:hint="eastAsia" w:hAnsi="仿宋"/>
          <w:szCs w:val="32"/>
        </w:rPr>
        <w:t>个，建设项目数位列全省第一。福州第一技师学院是全省唯一获评第十四届国家高技能人才培育突出贡献单位。</w:t>
      </w:r>
    </w:p>
    <w:p w14:paraId="2DC71EE0">
      <w:pPr>
        <w:spacing w:line="600" w:lineRule="exact"/>
        <w:ind w:firstLine="636" w:firstLineChars="200"/>
        <w:rPr>
          <w:rFonts w:hAnsi="仿宋"/>
          <w:szCs w:val="32"/>
        </w:rPr>
      </w:pPr>
      <w:r>
        <w:rPr>
          <w:rFonts w:hint="eastAsia" w:hAnsi="仿宋"/>
          <w:b/>
          <w:bCs/>
          <w:szCs w:val="32"/>
        </w:rPr>
        <w:t>——人事制度改革取得明显成效。</w:t>
      </w:r>
      <w:r>
        <w:rPr>
          <w:rFonts w:hint="eastAsia" w:hAnsi="仿宋"/>
          <w:szCs w:val="32"/>
        </w:rPr>
        <w:t>稳步推进职称制度改革，创新完善专业技术人才评价机制，促进专业技术职业资格和职称有效衔接，支持高技能人才与工程技术人才职业贯通发展，</w:t>
      </w:r>
      <w:r>
        <w:rPr>
          <w:rFonts w:hAnsi="仿宋"/>
          <w:szCs w:val="32"/>
        </w:rPr>
        <w:t>推进台籍人才职称评审工作和职称采认工作。优化岗位设置管理工作，动态调整岗位结构比例，扩大公立医院招聘自主权，支持教育、卫生等部门开展专项招聘工作，搭建公平、公开、公正的选人用人平台。</w:t>
      </w:r>
      <w:r>
        <w:rPr>
          <w:rFonts w:hint="eastAsia" w:hAnsi="仿宋"/>
          <w:szCs w:val="32"/>
        </w:rPr>
        <w:t>建立健全表彰奖励管理机制，科学设立项目，严格规范程序，自觉接受监督，切实发挥表彰奖励正向激励作用。“十三五”期间，公务员考录1638人，</w:t>
      </w:r>
      <w:r>
        <w:rPr>
          <w:rFonts w:hint="eastAsia" w:hAnsi="宋体"/>
          <w:szCs w:val="32"/>
        </w:rPr>
        <w:t>事业</w:t>
      </w:r>
      <w:r>
        <w:rPr>
          <w:rFonts w:hint="eastAsia" w:hAnsi="仿宋"/>
          <w:szCs w:val="32"/>
        </w:rPr>
        <w:t>单位招聘</w:t>
      </w:r>
      <w:r>
        <w:rPr>
          <w:rFonts w:hAnsi="仿宋"/>
          <w:szCs w:val="32"/>
        </w:rPr>
        <w:t>14839人，评审初级职称22744人、中级职称5557人、高级职称4638人</w:t>
      </w:r>
      <w:r>
        <w:rPr>
          <w:rFonts w:hint="eastAsia" w:hAnsi="仿宋"/>
          <w:szCs w:val="32"/>
        </w:rPr>
        <w:t>。推荐</w:t>
      </w:r>
      <w:r>
        <w:rPr>
          <w:rFonts w:hAnsi="仿宋"/>
          <w:szCs w:val="32"/>
        </w:rPr>
        <w:t>12个集体、26名个人参评国家级表彰，30个集体、43名个人参评国家部委表彰，35个集体、70名个人参评省级表彰，158个集体、585名个人参评省级工作部门表彰。</w:t>
      </w:r>
    </w:p>
    <w:p w14:paraId="05DC046E">
      <w:pPr>
        <w:spacing w:line="600" w:lineRule="exact"/>
        <w:ind w:firstLine="636" w:firstLineChars="200"/>
        <w:rPr>
          <w:rFonts w:hAnsi="仿宋"/>
          <w:szCs w:val="32"/>
        </w:rPr>
      </w:pPr>
      <w:r>
        <w:rPr>
          <w:rFonts w:hint="eastAsia" w:hAnsi="仿宋"/>
          <w:b/>
          <w:szCs w:val="32"/>
        </w:rPr>
        <w:t>——工资收入分配制度改革稳步推进。</w:t>
      </w:r>
      <w:r>
        <w:rPr>
          <w:rFonts w:hint="eastAsia" w:hAnsi="仿宋"/>
          <w:szCs w:val="32"/>
        </w:rPr>
        <w:t>企业工资收入分配制度进一步完善，率先开展企业人工成本监测试点，两次调整最低工资标准、年均增幅为5.48%，工资指导线等宏观管理制度不断健全，欠薪应急保障金、工资保证金制度全面实施。全面落实国有企业负责人薪酬制度改革工作，加强市委管理企业负责人的管理和考核，健全市委管理企业负责人薪酬分配和约束机制。将薪酬与风险、责任相一致，与经营业绩紧密挂钩，建立了符合市委管理企业负责人特点的薪酬制度，实现薪酬水平适当、结构合理、管理规范、监督有效，促进企业改革发展，推动形成合理有序的收入分配格局。国有企业工资收入分配制度改革取得积极进展，逐步建立与劳动力市场基本适应、与国有企业经济效益和劳动生产率挂钩的工资决定机制。落实机关事业单位工作人员工资标准和离休人员离休费调整工作，推进公立医院薪酬制度改革，建立津补贴和绩效工资发放督查机制。全面稳定推进全市事业单位实施绩效工资工作，逐步建立科学的绩效考核机制、工资水平合理核定机制和有效的激励约束机制，全</w:t>
      </w:r>
      <w:r>
        <w:rPr>
          <w:rFonts w:hAnsi="仿宋"/>
          <w:szCs w:val="32"/>
        </w:rPr>
        <w:t>市机关</w:t>
      </w:r>
      <w:r>
        <w:rPr>
          <w:rFonts w:hint="eastAsia" w:hAnsi="仿宋"/>
          <w:szCs w:val="32"/>
        </w:rPr>
        <w:t>事业</w:t>
      </w:r>
      <w:r>
        <w:rPr>
          <w:rFonts w:hAnsi="仿宋"/>
          <w:szCs w:val="32"/>
        </w:rPr>
        <w:t>单位在职人员收入年均增长率为</w:t>
      </w:r>
      <w:r>
        <w:rPr>
          <w:rFonts w:hint="eastAsia" w:hAnsi="仿宋"/>
          <w:szCs w:val="32"/>
        </w:rPr>
        <w:t>11.79</w:t>
      </w:r>
      <w:r>
        <w:rPr>
          <w:rFonts w:hAnsi="仿宋"/>
          <w:szCs w:val="32"/>
        </w:rPr>
        <w:t>%</w:t>
      </w:r>
      <w:r>
        <w:rPr>
          <w:rFonts w:hint="eastAsia" w:hAnsi="仿宋"/>
          <w:szCs w:val="32"/>
        </w:rPr>
        <w:t>。</w:t>
      </w:r>
    </w:p>
    <w:p w14:paraId="780A12C1">
      <w:pPr>
        <w:spacing w:line="600" w:lineRule="exact"/>
        <w:ind w:firstLine="636" w:firstLineChars="200"/>
        <w:rPr>
          <w:rFonts w:hAnsi="仿宋"/>
          <w:szCs w:val="32"/>
        </w:rPr>
      </w:pPr>
      <w:r>
        <w:rPr>
          <w:rFonts w:hint="eastAsia" w:hAnsi="仿宋"/>
          <w:b/>
          <w:szCs w:val="32"/>
        </w:rPr>
        <w:t>——劳动关系总体保持和谐稳定。</w:t>
      </w:r>
      <w:r>
        <w:rPr>
          <w:rFonts w:hint="eastAsia" w:hAnsi="仿宋"/>
          <w:szCs w:val="32"/>
        </w:rPr>
        <w:t>在全省率先创新建立企业劳动关系动态监测预警平台，劳动关系协商协调机制不断完善，和谐劳动关系创建活动不断深入。全市累计共有</w:t>
      </w:r>
      <w:r>
        <w:rPr>
          <w:rFonts w:hAnsi="仿宋"/>
          <w:szCs w:val="32"/>
        </w:rPr>
        <w:t>7</w:t>
      </w:r>
      <w:r>
        <w:rPr>
          <w:rFonts w:hint="eastAsia" w:hAnsi="仿宋"/>
          <w:szCs w:val="32"/>
        </w:rPr>
        <w:t>家企业被评为国家模范劳动关系和谐企业，</w:t>
      </w:r>
      <w:r>
        <w:rPr>
          <w:rFonts w:hAnsi="仿宋"/>
          <w:szCs w:val="32"/>
        </w:rPr>
        <w:t>212</w:t>
      </w:r>
      <w:r>
        <w:rPr>
          <w:rFonts w:hint="eastAsia" w:hAnsi="仿宋"/>
          <w:szCs w:val="32"/>
        </w:rPr>
        <w:t>家企业、</w:t>
      </w:r>
      <w:r>
        <w:rPr>
          <w:rFonts w:hAnsi="仿宋"/>
          <w:szCs w:val="32"/>
        </w:rPr>
        <w:t>9</w:t>
      </w:r>
      <w:r>
        <w:rPr>
          <w:rFonts w:hint="eastAsia" w:hAnsi="仿宋"/>
          <w:szCs w:val="32"/>
        </w:rPr>
        <w:t>个工业园区、</w:t>
      </w:r>
      <w:r>
        <w:rPr>
          <w:rFonts w:hAnsi="仿宋"/>
          <w:szCs w:val="32"/>
        </w:rPr>
        <w:t>9</w:t>
      </w:r>
      <w:r>
        <w:rPr>
          <w:rFonts w:hint="eastAsia" w:hAnsi="仿宋"/>
          <w:szCs w:val="32"/>
        </w:rPr>
        <w:t>个乡镇（街道）被评为省级劳动关系和谐企业、工业园区、乡镇（街道），</w:t>
      </w:r>
      <w:r>
        <w:rPr>
          <w:rFonts w:hAnsi="仿宋"/>
          <w:szCs w:val="32"/>
        </w:rPr>
        <w:t>372</w:t>
      </w:r>
      <w:r>
        <w:rPr>
          <w:rFonts w:hint="eastAsia" w:hAnsi="仿宋"/>
          <w:szCs w:val="32"/>
        </w:rPr>
        <w:t>家企业、</w:t>
      </w:r>
      <w:r>
        <w:rPr>
          <w:rFonts w:hAnsi="仿宋"/>
          <w:szCs w:val="32"/>
        </w:rPr>
        <w:t>6</w:t>
      </w:r>
      <w:r>
        <w:rPr>
          <w:rFonts w:hint="eastAsia" w:hAnsi="仿宋"/>
          <w:szCs w:val="32"/>
        </w:rPr>
        <w:t>个工业园区、</w:t>
      </w:r>
      <w:r>
        <w:rPr>
          <w:rFonts w:hAnsi="仿宋"/>
          <w:szCs w:val="32"/>
        </w:rPr>
        <w:t>23</w:t>
      </w:r>
      <w:r>
        <w:rPr>
          <w:rFonts w:hint="eastAsia" w:hAnsi="仿宋"/>
          <w:szCs w:val="32"/>
        </w:rPr>
        <w:t>个乡镇（街道）被评为市级劳动关系和谐企业、工业园区、乡镇（街道）。在全国率先创设福州市中级人民法院福州市人社局“根治欠薪”联动执行工作室，确立“法院执行+劳动维权”工作机制，破除执行难问题。在全省率先建立劳动仲裁与劳动监察“一窗受理”，职责履行互补。5</w:t>
      </w:r>
      <w:r>
        <w:rPr>
          <w:rFonts w:hAnsi="仿宋"/>
          <w:szCs w:val="32"/>
        </w:rPr>
        <w:t>年来，全市</w:t>
      </w:r>
      <w:r>
        <w:rPr>
          <w:rFonts w:hint="eastAsia" w:hAnsi="仿宋"/>
          <w:szCs w:val="32"/>
        </w:rPr>
        <w:t>企业</w:t>
      </w:r>
      <w:r>
        <w:rPr>
          <w:rFonts w:hAnsi="仿宋"/>
          <w:szCs w:val="32"/>
        </w:rPr>
        <w:t>劳动合同、集体合同签订率动态保持在95%、85%以上</w:t>
      </w:r>
      <w:r>
        <w:rPr>
          <w:rFonts w:hint="eastAsia" w:hAnsi="仿宋"/>
          <w:szCs w:val="32"/>
        </w:rPr>
        <w:t>；受理劳动人事争议案件39221件，调解成功率均在70%以上（目标为60%），仲裁结案率均在90%以上（目标为90%）；通过劳动仲裁与劳动监察，累计为超过10万人追发工资等待遇5.9亿元，有力维护劳动者权益。</w:t>
      </w:r>
    </w:p>
    <w:p w14:paraId="0D2B5043">
      <w:pPr>
        <w:spacing w:line="600" w:lineRule="exact"/>
        <w:ind w:firstLine="636" w:firstLineChars="200"/>
        <w:rPr>
          <w:rFonts w:hAnsi="仿宋"/>
          <w:szCs w:val="32"/>
        </w:rPr>
      </w:pPr>
      <w:r>
        <w:rPr>
          <w:rFonts w:hint="eastAsia" w:hAnsi="仿宋"/>
          <w:b/>
          <w:szCs w:val="32"/>
        </w:rPr>
        <w:t>——人社公共服务能力持续增强。</w:t>
      </w:r>
      <w:r>
        <w:rPr>
          <w:rFonts w:hint="eastAsia" w:hAnsi="仿宋"/>
          <w:szCs w:val="32"/>
        </w:rPr>
        <w:t>截至2020年底，全市基层劳动保障工作平台已覆盖全市所有县（市）区、174个街道（乡镇）、478个社区，2203个行政村已全部配备劳动保障协理员，就近就地提供“一站式”公共就业创业服务。积极推动“互联网+人社服务”建设，审批服务事项基本进驻福建省网上办事大厅，94.89%的事项达到省网上办事大厅三星级以上（含三星级）标准，26项人社事项实现“掌上办、网上办、就近办”，6项实现“秒批”。深化“最多跑一趟”改革，市本级“最多跑一趟”事项占比达95.10%；其中，“一趟不用跑”事项占比达57.84%。审批服务事项办理时限平均压缩至法定时限的30%以内（全省压缩幅度最大），49%的审批服务事项实现“即审即办”；全面实行“一窗受理、集成服务”，开展“人社服务快办行动”，实行关联事项“打包办”，将70项审批服务事项根据服务场景打成13个“打包一件事”。</w:t>
      </w:r>
      <w:r>
        <w:rPr>
          <w:rFonts w:hAnsi="仿宋"/>
          <w:szCs w:val="32"/>
        </w:rPr>
        <w:t>全市共有59个海峡银行营业窗口及160个社保卡代办点，社会保障卡持卡人数已达813万人。</w:t>
      </w:r>
    </w:p>
    <w:p w14:paraId="26AC9694">
      <w:pPr>
        <w:spacing w:line="600" w:lineRule="exact"/>
        <w:ind w:firstLine="636" w:firstLineChars="200"/>
        <w:rPr>
          <w:rFonts w:hAnsi="仿宋"/>
          <w:szCs w:val="32"/>
        </w:rPr>
      </w:pPr>
      <w:r>
        <w:rPr>
          <w:rFonts w:hint="eastAsia" w:hAnsi="仿宋"/>
          <w:b/>
          <w:szCs w:val="32"/>
        </w:rPr>
        <w:t>——人社精准扶贫行动成效凸显。</w:t>
      </w:r>
      <w:r>
        <w:rPr>
          <w:rFonts w:hAnsi="仿宋"/>
          <w:szCs w:val="32"/>
        </w:rPr>
        <w:t>就近就地开发乡村保洁员、乡村生态管护员、乡村交通协管员、乡村保安员等各类公益性岗位共计1250个</w:t>
      </w:r>
      <w:r>
        <w:rPr>
          <w:rFonts w:hint="eastAsia" w:hAnsi="仿宋"/>
          <w:szCs w:val="32"/>
        </w:rPr>
        <w:t>，安置</w:t>
      </w:r>
      <w:r>
        <w:rPr>
          <w:rFonts w:hAnsi="仿宋"/>
          <w:szCs w:val="32"/>
        </w:rPr>
        <w:t>1017名建档立卡贫困劳动力</w:t>
      </w:r>
      <w:r>
        <w:rPr>
          <w:rFonts w:hint="eastAsia" w:hAnsi="仿宋"/>
          <w:szCs w:val="32"/>
        </w:rPr>
        <w:t>，</w:t>
      </w:r>
      <w:r>
        <w:rPr>
          <w:rFonts w:hAnsi="仿宋"/>
          <w:szCs w:val="32"/>
        </w:rPr>
        <w:t>发放公益性岗位补贴3255万元，</w:t>
      </w:r>
      <w:r>
        <w:rPr>
          <w:rFonts w:hint="eastAsia" w:hAnsi="仿宋"/>
          <w:szCs w:val="32"/>
        </w:rPr>
        <w:t>累计</w:t>
      </w:r>
      <w:r>
        <w:rPr>
          <w:rFonts w:hAnsi="仿宋"/>
          <w:szCs w:val="32"/>
        </w:rPr>
        <w:t>6075</w:t>
      </w:r>
      <w:r>
        <w:rPr>
          <w:rFonts w:hint="eastAsia" w:hAnsi="仿宋"/>
          <w:szCs w:val="32"/>
        </w:rPr>
        <w:t>名</w:t>
      </w:r>
      <w:r>
        <w:rPr>
          <w:rFonts w:hAnsi="仿宋"/>
          <w:szCs w:val="32"/>
        </w:rPr>
        <w:t>建档立卡贫困劳动力</w:t>
      </w:r>
      <w:r>
        <w:rPr>
          <w:rFonts w:hint="eastAsia" w:hAnsi="仿宋"/>
          <w:szCs w:val="32"/>
        </w:rPr>
        <w:t>实现</w:t>
      </w:r>
      <w:r>
        <w:rPr>
          <w:rFonts w:hAnsi="仿宋"/>
          <w:szCs w:val="32"/>
        </w:rPr>
        <w:t>转移就业。</w:t>
      </w:r>
      <w:r>
        <w:rPr>
          <w:rFonts w:hint="eastAsia" w:hAnsi="仿宋"/>
          <w:szCs w:val="32"/>
        </w:rPr>
        <w:t>全市</w:t>
      </w:r>
      <w:r>
        <w:rPr>
          <w:rFonts w:hAnsi="仿宋"/>
          <w:szCs w:val="32"/>
        </w:rPr>
        <w:t>5.74万贫困人员参加基本养老保险，实现应保尽保、应发尽发、应代缴尽代缴</w:t>
      </w:r>
      <w:r>
        <w:rPr>
          <w:rFonts w:hint="eastAsia" w:hAnsi="仿宋"/>
          <w:szCs w:val="32"/>
        </w:rPr>
        <w:t>。同时，根据党中央、国务院要求和市委、市政府部署，持续推进福州·定西扶贫劳务协作工作，累计帮扶定西贫困劳动力就业</w:t>
      </w:r>
      <w:r>
        <w:rPr>
          <w:rFonts w:hAnsi="仿宋"/>
          <w:szCs w:val="32"/>
        </w:rPr>
        <w:t>6.5万人次</w:t>
      </w:r>
      <w:r>
        <w:rPr>
          <w:rFonts w:hint="eastAsia" w:hAnsi="仿宋"/>
          <w:szCs w:val="32"/>
        </w:rPr>
        <w:t>，其中</w:t>
      </w:r>
      <w:r>
        <w:rPr>
          <w:rFonts w:hAnsi="仿宋"/>
          <w:szCs w:val="32"/>
        </w:rPr>
        <w:t>输转来榕就业1.33万人次</w:t>
      </w:r>
      <w:r>
        <w:rPr>
          <w:rFonts w:hint="eastAsia" w:hAnsi="仿宋"/>
          <w:szCs w:val="32"/>
        </w:rPr>
        <w:t>（</w:t>
      </w:r>
      <w:r>
        <w:rPr>
          <w:rFonts w:hAnsi="仿宋"/>
          <w:szCs w:val="32"/>
        </w:rPr>
        <w:t>建档立卡贫困劳动力1.1万人次</w:t>
      </w:r>
      <w:r>
        <w:rPr>
          <w:rFonts w:hint="eastAsia" w:hAnsi="仿宋"/>
          <w:szCs w:val="32"/>
        </w:rPr>
        <w:t>）</w:t>
      </w:r>
      <w:r>
        <w:rPr>
          <w:rFonts w:hAnsi="仿宋"/>
          <w:szCs w:val="32"/>
        </w:rPr>
        <w:t>，建档立卡人员人均月收入超过4500元，直接带动10多万定西贫困人口脱贫。</w:t>
      </w:r>
    </w:p>
    <w:p w14:paraId="5A69C6D7">
      <w:pPr>
        <w:pStyle w:val="2"/>
        <w:spacing w:line="240" w:lineRule="exact"/>
      </w:pPr>
    </w:p>
    <w:tbl>
      <w:tblPr>
        <w:tblStyle w:val="16"/>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6"/>
        <w:gridCol w:w="787"/>
        <w:gridCol w:w="1102"/>
        <w:gridCol w:w="1703"/>
        <w:gridCol w:w="1589"/>
        <w:gridCol w:w="1648"/>
      </w:tblGrid>
      <w:tr w14:paraId="17DF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5" w:type="dxa"/>
            <w:gridSpan w:val="6"/>
            <w:tcBorders>
              <w:top w:val="single" w:color="auto" w:sz="4" w:space="0"/>
              <w:left w:val="single" w:color="auto" w:sz="4" w:space="0"/>
              <w:bottom w:val="single" w:color="auto" w:sz="4" w:space="0"/>
              <w:right w:val="single" w:color="auto" w:sz="4" w:space="0"/>
            </w:tcBorders>
            <w:vAlign w:val="center"/>
          </w:tcPr>
          <w:p w14:paraId="1F329925">
            <w:pPr>
              <w:spacing w:line="320" w:lineRule="exact"/>
              <w:ind w:right="79" w:rightChars="25"/>
              <w:jc w:val="center"/>
              <w:rPr>
                <w:sz w:val="24"/>
                <w:szCs w:val="24"/>
              </w:rPr>
            </w:pPr>
            <w:r>
              <w:rPr>
                <w:rFonts w:hint="eastAsia" w:ascii="仿宋" w:hAnsi="仿宋" w:eastAsia="仿宋" w:cs="仿宋"/>
                <w:b/>
                <w:bCs/>
                <w:sz w:val="30"/>
                <w:szCs w:val="30"/>
              </w:rPr>
              <w:t>专栏1：“十三五”规划目标完成情况</w:t>
            </w:r>
          </w:p>
        </w:tc>
      </w:tr>
      <w:tr w14:paraId="3259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4D6E62D4">
            <w:pPr>
              <w:spacing w:line="320" w:lineRule="exact"/>
              <w:ind w:right="79" w:rightChars="25"/>
              <w:jc w:val="center"/>
              <w:rPr>
                <w:sz w:val="24"/>
                <w:szCs w:val="24"/>
              </w:rPr>
            </w:pPr>
            <w:r>
              <w:rPr>
                <w:rFonts w:hint="eastAsia"/>
                <w:sz w:val="24"/>
                <w:szCs w:val="24"/>
              </w:rPr>
              <w:t>指  标</w:t>
            </w:r>
          </w:p>
        </w:tc>
        <w:tc>
          <w:tcPr>
            <w:tcW w:w="787" w:type="dxa"/>
            <w:tcBorders>
              <w:top w:val="single" w:color="auto" w:sz="4" w:space="0"/>
              <w:left w:val="single" w:color="auto" w:sz="4" w:space="0"/>
              <w:bottom w:val="single" w:color="auto" w:sz="4" w:space="0"/>
              <w:right w:val="single" w:color="auto" w:sz="4" w:space="0"/>
            </w:tcBorders>
            <w:vAlign w:val="center"/>
          </w:tcPr>
          <w:p w14:paraId="5B3C30BC">
            <w:pPr>
              <w:spacing w:line="320" w:lineRule="exact"/>
              <w:ind w:right="79" w:rightChars="25"/>
              <w:jc w:val="center"/>
              <w:rPr>
                <w:sz w:val="24"/>
                <w:szCs w:val="24"/>
              </w:rPr>
            </w:pPr>
            <w:r>
              <w:rPr>
                <w:rFonts w:hint="eastAsia"/>
                <w:sz w:val="24"/>
                <w:szCs w:val="24"/>
              </w:rPr>
              <w:t>单位</w:t>
            </w:r>
          </w:p>
        </w:tc>
        <w:tc>
          <w:tcPr>
            <w:tcW w:w="1102" w:type="dxa"/>
            <w:tcBorders>
              <w:top w:val="single" w:color="auto" w:sz="4" w:space="0"/>
              <w:left w:val="single" w:color="auto" w:sz="4" w:space="0"/>
              <w:bottom w:val="single" w:color="auto" w:sz="4" w:space="0"/>
              <w:right w:val="single" w:color="auto" w:sz="4" w:space="0"/>
            </w:tcBorders>
            <w:vAlign w:val="center"/>
          </w:tcPr>
          <w:p w14:paraId="09702EDD">
            <w:pPr>
              <w:spacing w:line="320" w:lineRule="exact"/>
              <w:ind w:right="79" w:rightChars="25"/>
              <w:jc w:val="center"/>
              <w:rPr>
                <w:sz w:val="24"/>
                <w:szCs w:val="24"/>
              </w:rPr>
            </w:pPr>
            <w:r>
              <w:rPr>
                <w:rFonts w:hint="eastAsia"/>
                <w:sz w:val="24"/>
                <w:szCs w:val="24"/>
              </w:rPr>
              <w:t>2015年</w:t>
            </w:r>
          </w:p>
        </w:tc>
        <w:tc>
          <w:tcPr>
            <w:tcW w:w="1703" w:type="dxa"/>
            <w:tcBorders>
              <w:top w:val="single" w:color="auto" w:sz="4" w:space="0"/>
              <w:left w:val="single" w:color="auto" w:sz="4" w:space="0"/>
              <w:bottom w:val="single" w:color="auto" w:sz="4" w:space="0"/>
              <w:right w:val="single" w:color="auto" w:sz="4" w:space="0"/>
            </w:tcBorders>
            <w:vAlign w:val="center"/>
          </w:tcPr>
          <w:p w14:paraId="7FBE2415">
            <w:pPr>
              <w:spacing w:line="320" w:lineRule="exact"/>
              <w:ind w:right="79" w:rightChars="25"/>
              <w:jc w:val="center"/>
              <w:rPr>
                <w:sz w:val="24"/>
                <w:szCs w:val="24"/>
              </w:rPr>
            </w:pPr>
            <w:r>
              <w:rPr>
                <w:rFonts w:hint="eastAsia"/>
                <w:spacing w:val="-4"/>
                <w:sz w:val="24"/>
                <w:szCs w:val="24"/>
              </w:rPr>
              <w:t>2020年目标</w:t>
            </w:r>
          </w:p>
        </w:tc>
        <w:tc>
          <w:tcPr>
            <w:tcW w:w="1589" w:type="dxa"/>
            <w:tcBorders>
              <w:top w:val="single" w:color="auto" w:sz="4" w:space="0"/>
              <w:left w:val="single" w:color="auto" w:sz="4" w:space="0"/>
              <w:bottom w:val="single" w:color="auto" w:sz="4" w:space="0"/>
              <w:right w:val="single" w:color="auto" w:sz="4" w:space="0"/>
            </w:tcBorders>
            <w:vAlign w:val="center"/>
          </w:tcPr>
          <w:p w14:paraId="007B6509">
            <w:pPr>
              <w:spacing w:line="320" w:lineRule="exact"/>
              <w:ind w:right="79" w:rightChars="25"/>
              <w:jc w:val="center"/>
              <w:rPr>
                <w:sz w:val="24"/>
                <w:szCs w:val="24"/>
              </w:rPr>
            </w:pPr>
            <w:r>
              <w:rPr>
                <w:rFonts w:hint="eastAsia"/>
                <w:sz w:val="24"/>
                <w:szCs w:val="24"/>
              </w:rPr>
              <w:t>2020年实际完成</w:t>
            </w:r>
          </w:p>
        </w:tc>
        <w:tc>
          <w:tcPr>
            <w:tcW w:w="1648" w:type="dxa"/>
            <w:tcBorders>
              <w:top w:val="single" w:color="auto" w:sz="4" w:space="0"/>
              <w:left w:val="single" w:color="auto" w:sz="4" w:space="0"/>
              <w:bottom w:val="single" w:color="auto" w:sz="4" w:space="0"/>
              <w:right w:val="single" w:color="auto" w:sz="4" w:space="0"/>
            </w:tcBorders>
            <w:vAlign w:val="center"/>
          </w:tcPr>
          <w:p w14:paraId="64EB984F">
            <w:pPr>
              <w:spacing w:line="320" w:lineRule="exact"/>
              <w:ind w:right="79" w:rightChars="25"/>
              <w:jc w:val="center"/>
              <w:rPr>
                <w:sz w:val="24"/>
                <w:szCs w:val="24"/>
              </w:rPr>
            </w:pPr>
            <w:r>
              <w:rPr>
                <w:rFonts w:hint="eastAsia"/>
                <w:sz w:val="24"/>
                <w:szCs w:val="24"/>
              </w:rPr>
              <w:t>年均增长</w:t>
            </w:r>
          </w:p>
          <w:p w14:paraId="7EAB7F9C">
            <w:pPr>
              <w:spacing w:line="320" w:lineRule="exact"/>
              <w:ind w:right="79" w:rightChars="25"/>
              <w:jc w:val="center"/>
              <w:rPr>
                <w:sz w:val="24"/>
                <w:szCs w:val="24"/>
              </w:rPr>
            </w:pPr>
            <w:r>
              <w:rPr>
                <w:rFonts w:hint="eastAsia"/>
                <w:sz w:val="24"/>
                <w:szCs w:val="24"/>
              </w:rPr>
              <w:t>[累计]</w:t>
            </w:r>
          </w:p>
        </w:tc>
      </w:tr>
      <w:tr w14:paraId="66E8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5" w:type="dxa"/>
            <w:gridSpan w:val="6"/>
            <w:tcBorders>
              <w:top w:val="single" w:color="auto" w:sz="4" w:space="0"/>
              <w:left w:val="single" w:color="auto" w:sz="4" w:space="0"/>
              <w:bottom w:val="single" w:color="auto" w:sz="4" w:space="0"/>
              <w:right w:val="single" w:color="auto" w:sz="4" w:space="0"/>
            </w:tcBorders>
            <w:vAlign w:val="center"/>
          </w:tcPr>
          <w:p w14:paraId="2BC697A6">
            <w:pPr>
              <w:spacing w:line="320" w:lineRule="exact"/>
              <w:rPr>
                <w:sz w:val="24"/>
                <w:szCs w:val="24"/>
              </w:rPr>
            </w:pPr>
            <w:r>
              <w:rPr>
                <w:rFonts w:hint="eastAsia"/>
                <w:b/>
                <w:sz w:val="24"/>
                <w:szCs w:val="24"/>
              </w:rPr>
              <w:t>一、就业</w:t>
            </w:r>
          </w:p>
        </w:tc>
      </w:tr>
      <w:tr w14:paraId="7388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6FEC3515">
            <w:pPr>
              <w:spacing w:line="320" w:lineRule="exact"/>
              <w:ind w:right="79" w:rightChars="25"/>
              <w:rPr>
                <w:sz w:val="24"/>
                <w:szCs w:val="24"/>
              </w:rPr>
            </w:pPr>
            <w:r>
              <w:rPr>
                <w:rFonts w:hint="eastAsia"/>
                <w:sz w:val="24"/>
                <w:szCs w:val="24"/>
              </w:rPr>
              <w:t>1</w:t>
            </w:r>
            <w:r>
              <w:rPr>
                <w:rFonts w:hint="eastAsia"/>
                <w:sz w:val="24"/>
                <w:szCs w:val="24"/>
                <w:lang w:val="en-US" w:eastAsia="zh-CN"/>
              </w:rPr>
              <w:t>.</w:t>
            </w:r>
            <w:r>
              <w:rPr>
                <w:rFonts w:hint="eastAsia"/>
                <w:sz w:val="24"/>
                <w:szCs w:val="24"/>
              </w:rPr>
              <w:t>城镇新增就业人数</w:t>
            </w:r>
          </w:p>
        </w:tc>
        <w:tc>
          <w:tcPr>
            <w:tcW w:w="787" w:type="dxa"/>
            <w:tcBorders>
              <w:top w:val="single" w:color="auto" w:sz="4" w:space="0"/>
              <w:left w:val="single" w:color="auto" w:sz="4" w:space="0"/>
              <w:bottom w:val="single" w:color="auto" w:sz="4" w:space="0"/>
              <w:right w:val="single" w:color="auto" w:sz="4" w:space="0"/>
            </w:tcBorders>
            <w:vAlign w:val="center"/>
          </w:tcPr>
          <w:p w14:paraId="4DC80D69">
            <w:pPr>
              <w:spacing w:line="320" w:lineRule="exact"/>
              <w:ind w:right="79" w:rightChars="25"/>
              <w:jc w:val="center"/>
              <w:rPr>
                <w:sz w:val="24"/>
                <w:szCs w:val="24"/>
              </w:rPr>
            </w:pPr>
            <w:r>
              <w:rPr>
                <w:rFonts w:hint="eastAsia"/>
                <w:sz w:val="24"/>
                <w:szCs w:val="24"/>
              </w:rPr>
              <w:t>万人</w:t>
            </w:r>
          </w:p>
        </w:tc>
        <w:tc>
          <w:tcPr>
            <w:tcW w:w="1102" w:type="dxa"/>
            <w:tcBorders>
              <w:top w:val="single" w:color="auto" w:sz="4" w:space="0"/>
              <w:left w:val="single" w:color="auto" w:sz="4" w:space="0"/>
              <w:bottom w:val="single" w:color="auto" w:sz="4" w:space="0"/>
              <w:right w:val="single" w:color="auto" w:sz="4" w:space="0"/>
            </w:tcBorders>
            <w:vAlign w:val="center"/>
          </w:tcPr>
          <w:p w14:paraId="6EEA797E">
            <w:pPr>
              <w:spacing w:line="320" w:lineRule="exact"/>
              <w:ind w:right="79" w:rightChars="25"/>
              <w:jc w:val="center"/>
              <w:rPr>
                <w:sz w:val="24"/>
                <w:szCs w:val="24"/>
              </w:rPr>
            </w:pPr>
            <w:r>
              <w:rPr>
                <w:rFonts w:hint="eastAsia"/>
                <w:sz w:val="24"/>
                <w:szCs w:val="24"/>
              </w:rPr>
              <w:t>[73.95]</w:t>
            </w:r>
          </w:p>
        </w:tc>
        <w:tc>
          <w:tcPr>
            <w:tcW w:w="1703" w:type="dxa"/>
            <w:tcBorders>
              <w:top w:val="single" w:color="auto" w:sz="4" w:space="0"/>
              <w:left w:val="single" w:color="auto" w:sz="4" w:space="0"/>
              <w:bottom w:val="single" w:color="auto" w:sz="4" w:space="0"/>
              <w:right w:val="single" w:color="auto" w:sz="4" w:space="0"/>
            </w:tcBorders>
            <w:vAlign w:val="center"/>
          </w:tcPr>
          <w:p w14:paraId="2FB4A1D5">
            <w:pPr>
              <w:spacing w:line="320" w:lineRule="exact"/>
              <w:ind w:right="79" w:rightChars="25"/>
              <w:jc w:val="center"/>
              <w:rPr>
                <w:sz w:val="24"/>
                <w:szCs w:val="24"/>
              </w:rPr>
            </w:pPr>
            <w:r>
              <w:rPr>
                <w:rFonts w:hint="eastAsia"/>
                <w:sz w:val="24"/>
                <w:szCs w:val="24"/>
              </w:rPr>
              <w:t>[66]</w:t>
            </w:r>
          </w:p>
        </w:tc>
        <w:tc>
          <w:tcPr>
            <w:tcW w:w="3237" w:type="dxa"/>
            <w:gridSpan w:val="2"/>
            <w:tcBorders>
              <w:top w:val="single" w:color="auto" w:sz="4" w:space="0"/>
              <w:left w:val="single" w:color="auto" w:sz="4" w:space="0"/>
              <w:bottom w:val="single" w:color="auto" w:sz="4" w:space="0"/>
              <w:right w:val="single" w:color="auto" w:sz="4" w:space="0"/>
            </w:tcBorders>
            <w:vAlign w:val="center"/>
          </w:tcPr>
          <w:p w14:paraId="2E1471EB">
            <w:pPr>
              <w:spacing w:line="320" w:lineRule="exact"/>
              <w:ind w:right="79" w:rightChars="25"/>
              <w:jc w:val="center"/>
              <w:rPr>
                <w:sz w:val="24"/>
                <w:szCs w:val="24"/>
              </w:rPr>
            </w:pPr>
            <w:r>
              <w:rPr>
                <w:rFonts w:hint="eastAsia"/>
                <w:sz w:val="24"/>
                <w:szCs w:val="24"/>
              </w:rPr>
              <w:t>[67.86]</w:t>
            </w:r>
          </w:p>
        </w:tc>
      </w:tr>
      <w:tr w14:paraId="6F7AD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5" w:type="dxa"/>
            <w:gridSpan w:val="6"/>
            <w:tcBorders>
              <w:top w:val="single" w:color="auto" w:sz="4" w:space="0"/>
              <w:left w:val="single" w:color="auto" w:sz="4" w:space="0"/>
              <w:bottom w:val="single" w:color="auto" w:sz="4" w:space="0"/>
              <w:right w:val="single" w:color="auto" w:sz="4" w:space="0"/>
            </w:tcBorders>
            <w:vAlign w:val="center"/>
          </w:tcPr>
          <w:p w14:paraId="6309E90C">
            <w:pPr>
              <w:spacing w:line="320" w:lineRule="exact"/>
              <w:rPr>
                <w:sz w:val="24"/>
                <w:szCs w:val="24"/>
              </w:rPr>
            </w:pPr>
            <w:r>
              <w:rPr>
                <w:rFonts w:hint="eastAsia"/>
                <w:b/>
                <w:sz w:val="24"/>
                <w:szCs w:val="24"/>
              </w:rPr>
              <w:t>二、社会保障</w:t>
            </w:r>
          </w:p>
        </w:tc>
      </w:tr>
      <w:tr w14:paraId="2639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526A1EC3">
            <w:pPr>
              <w:spacing w:line="320" w:lineRule="exact"/>
              <w:ind w:right="79" w:rightChars="25"/>
              <w:rPr>
                <w:sz w:val="24"/>
                <w:szCs w:val="24"/>
              </w:rPr>
            </w:pPr>
            <w:r>
              <w:rPr>
                <w:rFonts w:hint="eastAsia"/>
                <w:sz w:val="24"/>
                <w:szCs w:val="24"/>
              </w:rPr>
              <w:t>2</w:t>
            </w:r>
            <w:r>
              <w:rPr>
                <w:rFonts w:hint="eastAsia"/>
                <w:sz w:val="24"/>
                <w:szCs w:val="24"/>
                <w:lang w:val="en-US" w:eastAsia="zh-CN"/>
              </w:rPr>
              <w:t>.</w:t>
            </w:r>
            <w:r>
              <w:rPr>
                <w:rFonts w:hint="eastAsia"/>
                <w:sz w:val="24"/>
                <w:szCs w:val="24"/>
              </w:rPr>
              <w:t>基本养老保险参保率</w:t>
            </w:r>
          </w:p>
        </w:tc>
        <w:tc>
          <w:tcPr>
            <w:tcW w:w="787" w:type="dxa"/>
            <w:tcBorders>
              <w:top w:val="single" w:color="auto" w:sz="4" w:space="0"/>
              <w:left w:val="single" w:color="auto" w:sz="4" w:space="0"/>
              <w:bottom w:val="single" w:color="auto" w:sz="4" w:space="0"/>
              <w:right w:val="single" w:color="auto" w:sz="4" w:space="0"/>
            </w:tcBorders>
            <w:vAlign w:val="center"/>
          </w:tcPr>
          <w:p w14:paraId="18A71220">
            <w:pPr>
              <w:spacing w:line="320" w:lineRule="exact"/>
              <w:ind w:right="79" w:rightChars="25"/>
              <w:jc w:val="center"/>
              <w:rPr>
                <w:sz w:val="24"/>
                <w:szCs w:val="24"/>
              </w:rPr>
            </w:pPr>
            <w:r>
              <w:rPr>
                <w:rFonts w:hint="eastAsia"/>
                <w:sz w:val="24"/>
                <w:szCs w:val="24"/>
              </w:rPr>
              <w:t>%</w:t>
            </w:r>
          </w:p>
        </w:tc>
        <w:tc>
          <w:tcPr>
            <w:tcW w:w="1102" w:type="dxa"/>
            <w:tcBorders>
              <w:top w:val="single" w:color="auto" w:sz="4" w:space="0"/>
              <w:left w:val="single" w:color="auto" w:sz="4" w:space="0"/>
              <w:bottom w:val="single" w:color="auto" w:sz="4" w:space="0"/>
              <w:right w:val="single" w:color="auto" w:sz="4" w:space="0"/>
            </w:tcBorders>
            <w:vAlign w:val="center"/>
          </w:tcPr>
          <w:p w14:paraId="0D032910">
            <w:pPr>
              <w:spacing w:line="320" w:lineRule="exact"/>
              <w:ind w:right="79" w:rightChars="25"/>
              <w:jc w:val="center"/>
              <w:rPr>
                <w:sz w:val="24"/>
                <w:szCs w:val="24"/>
              </w:rPr>
            </w:pPr>
            <w:r>
              <w:rPr>
                <w:rFonts w:hint="eastAsia"/>
                <w:sz w:val="24"/>
                <w:szCs w:val="24"/>
              </w:rPr>
              <w:t>85</w:t>
            </w:r>
          </w:p>
        </w:tc>
        <w:tc>
          <w:tcPr>
            <w:tcW w:w="1703" w:type="dxa"/>
            <w:tcBorders>
              <w:top w:val="single" w:color="auto" w:sz="4" w:space="0"/>
              <w:left w:val="single" w:color="auto" w:sz="4" w:space="0"/>
              <w:bottom w:val="single" w:color="auto" w:sz="4" w:space="0"/>
              <w:right w:val="single" w:color="auto" w:sz="4" w:space="0"/>
            </w:tcBorders>
            <w:vAlign w:val="center"/>
          </w:tcPr>
          <w:p w14:paraId="21116D26">
            <w:pPr>
              <w:spacing w:line="320" w:lineRule="exact"/>
              <w:ind w:right="79" w:rightChars="25"/>
              <w:jc w:val="center"/>
              <w:rPr>
                <w:sz w:val="24"/>
                <w:szCs w:val="24"/>
              </w:rPr>
            </w:pPr>
            <w:r>
              <w:rPr>
                <w:rFonts w:hint="eastAsia"/>
                <w:sz w:val="24"/>
                <w:szCs w:val="24"/>
              </w:rPr>
              <w:t>90</w:t>
            </w:r>
          </w:p>
        </w:tc>
        <w:tc>
          <w:tcPr>
            <w:tcW w:w="1589" w:type="dxa"/>
            <w:tcBorders>
              <w:top w:val="single" w:color="auto" w:sz="4" w:space="0"/>
              <w:left w:val="single" w:color="auto" w:sz="4" w:space="0"/>
              <w:bottom w:val="single" w:color="auto" w:sz="4" w:space="0"/>
              <w:right w:val="single" w:color="auto" w:sz="4" w:space="0"/>
            </w:tcBorders>
            <w:vAlign w:val="center"/>
          </w:tcPr>
          <w:p w14:paraId="73D53A4C">
            <w:pPr>
              <w:spacing w:line="320" w:lineRule="exact"/>
              <w:ind w:right="79" w:rightChars="25"/>
              <w:jc w:val="center"/>
              <w:rPr>
                <w:sz w:val="24"/>
                <w:szCs w:val="24"/>
              </w:rPr>
            </w:pPr>
            <w:r>
              <w:rPr>
                <w:rFonts w:hint="eastAsia"/>
                <w:sz w:val="24"/>
                <w:szCs w:val="24"/>
              </w:rPr>
              <w:t>95.6</w:t>
            </w:r>
          </w:p>
        </w:tc>
        <w:tc>
          <w:tcPr>
            <w:tcW w:w="1648" w:type="dxa"/>
            <w:tcBorders>
              <w:top w:val="single" w:color="auto" w:sz="4" w:space="0"/>
              <w:left w:val="single" w:color="auto" w:sz="4" w:space="0"/>
              <w:bottom w:val="single" w:color="auto" w:sz="4" w:space="0"/>
              <w:right w:val="single" w:color="auto" w:sz="4" w:space="0"/>
            </w:tcBorders>
            <w:vAlign w:val="center"/>
          </w:tcPr>
          <w:p w14:paraId="785D87DA">
            <w:pPr>
              <w:spacing w:line="320" w:lineRule="exact"/>
              <w:ind w:right="79" w:rightChars="25"/>
              <w:jc w:val="center"/>
              <w:rPr>
                <w:sz w:val="24"/>
                <w:szCs w:val="24"/>
              </w:rPr>
            </w:pPr>
            <w:r>
              <w:rPr>
                <w:rFonts w:hint="eastAsia"/>
                <w:sz w:val="24"/>
                <w:szCs w:val="24"/>
              </w:rPr>
              <w:t>—</w:t>
            </w:r>
          </w:p>
        </w:tc>
      </w:tr>
      <w:tr w14:paraId="7617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0D58152F">
            <w:pPr>
              <w:spacing w:line="320" w:lineRule="exact"/>
              <w:ind w:right="79" w:rightChars="25"/>
              <w:rPr>
                <w:sz w:val="24"/>
                <w:szCs w:val="24"/>
              </w:rPr>
            </w:pPr>
            <w:r>
              <w:rPr>
                <w:rFonts w:hint="eastAsia"/>
                <w:sz w:val="24"/>
                <w:szCs w:val="24"/>
              </w:rPr>
              <w:t>3</w:t>
            </w:r>
            <w:r>
              <w:rPr>
                <w:rFonts w:hint="eastAsia"/>
                <w:sz w:val="24"/>
                <w:szCs w:val="24"/>
                <w:lang w:val="en-US" w:eastAsia="zh-CN"/>
              </w:rPr>
              <w:t>.</w:t>
            </w:r>
            <w:r>
              <w:rPr>
                <w:rFonts w:hint="eastAsia"/>
                <w:sz w:val="24"/>
                <w:szCs w:val="24"/>
              </w:rPr>
              <w:t>城镇职工基本养老保险参保人数</w:t>
            </w:r>
          </w:p>
        </w:tc>
        <w:tc>
          <w:tcPr>
            <w:tcW w:w="787" w:type="dxa"/>
            <w:tcBorders>
              <w:top w:val="single" w:color="auto" w:sz="4" w:space="0"/>
              <w:left w:val="single" w:color="auto" w:sz="4" w:space="0"/>
              <w:bottom w:val="single" w:color="auto" w:sz="4" w:space="0"/>
              <w:right w:val="single" w:color="auto" w:sz="4" w:space="0"/>
            </w:tcBorders>
            <w:vAlign w:val="center"/>
          </w:tcPr>
          <w:p w14:paraId="105BB6D8">
            <w:pPr>
              <w:spacing w:line="320" w:lineRule="exact"/>
              <w:ind w:right="79" w:rightChars="25"/>
              <w:jc w:val="center"/>
              <w:rPr>
                <w:sz w:val="24"/>
                <w:szCs w:val="24"/>
              </w:rPr>
            </w:pPr>
            <w:r>
              <w:rPr>
                <w:rFonts w:hint="eastAsia"/>
                <w:sz w:val="24"/>
                <w:szCs w:val="24"/>
              </w:rPr>
              <w:t>万人</w:t>
            </w:r>
          </w:p>
        </w:tc>
        <w:tc>
          <w:tcPr>
            <w:tcW w:w="1102" w:type="dxa"/>
            <w:tcBorders>
              <w:top w:val="single" w:color="auto" w:sz="4" w:space="0"/>
              <w:left w:val="single" w:color="auto" w:sz="4" w:space="0"/>
              <w:bottom w:val="single" w:color="auto" w:sz="4" w:space="0"/>
              <w:right w:val="single" w:color="auto" w:sz="4" w:space="0"/>
            </w:tcBorders>
            <w:vAlign w:val="center"/>
          </w:tcPr>
          <w:p w14:paraId="627B58C8">
            <w:pPr>
              <w:spacing w:line="320" w:lineRule="exact"/>
              <w:ind w:right="79" w:rightChars="25"/>
              <w:jc w:val="center"/>
              <w:rPr>
                <w:sz w:val="24"/>
                <w:szCs w:val="24"/>
              </w:rPr>
            </w:pPr>
            <w:r>
              <w:rPr>
                <w:rFonts w:hint="eastAsia"/>
                <w:sz w:val="24"/>
                <w:szCs w:val="24"/>
              </w:rPr>
              <w:t>177</w:t>
            </w:r>
          </w:p>
        </w:tc>
        <w:tc>
          <w:tcPr>
            <w:tcW w:w="1703" w:type="dxa"/>
            <w:tcBorders>
              <w:top w:val="single" w:color="auto" w:sz="4" w:space="0"/>
              <w:left w:val="single" w:color="auto" w:sz="4" w:space="0"/>
              <w:bottom w:val="single" w:color="auto" w:sz="4" w:space="0"/>
              <w:right w:val="single" w:color="auto" w:sz="4" w:space="0"/>
            </w:tcBorders>
            <w:vAlign w:val="center"/>
          </w:tcPr>
          <w:p w14:paraId="5868CF56">
            <w:pPr>
              <w:spacing w:line="320" w:lineRule="exact"/>
              <w:ind w:right="79" w:rightChars="25"/>
              <w:jc w:val="center"/>
              <w:rPr>
                <w:sz w:val="24"/>
                <w:szCs w:val="24"/>
              </w:rPr>
            </w:pPr>
            <w:r>
              <w:rPr>
                <w:rFonts w:hint="eastAsia"/>
                <w:sz w:val="24"/>
                <w:szCs w:val="24"/>
              </w:rPr>
              <w:t>195</w:t>
            </w:r>
          </w:p>
        </w:tc>
        <w:tc>
          <w:tcPr>
            <w:tcW w:w="1589" w:type="dxa"/>
            <w:tcBorders>
              <w:top w:val="single" w:color="auto" w:sz="4" w:space="0"/>
              <w:left w:val="single" w:color="auto" w:sz="4" w:space="0"/>
              <w:bottom w:val="single" w:color="auto" w:sz="4" w:space="0"/>
              <w:right w:val="single" w:color="auto" w:sz="4" w:space="0"/>
            </w:tcBorders>
            <w:vAlign w:val="center"/>
          </w:tcPr>
          <w:p w14:paraId="118BD8B6">
            <w:pPr>
              <w:spacing w:line="320" w:lineRule="exact"/>
              <w:ind w:right="79" w:rightChars="25"/>
              <w:jc w:val="center"/>
              <w:rPr>
                <w:sz w:val="24"/>
                <w:szCs w:val="24"/>
              </w:rPr>
            </w:pPr>
            <w:r>
              <w:rPr>
                <w:rFonts w:hint="eastAsia"/>
                <w:sz w:val="24"/>
                <w:szCs w:val="24"/>
              </w:rPr>
              <w:t>209.09</w:t>
            </w:r>
          </w:p>
        </w:tc>
        <w:tc>
          <w:tcPr>
            <w:tcW w:w="1648" w:type="dxa"/>
            <w:tcBorders>
              <w:top w:val="single" w:color="auto" w:sz="4" w:space="0"/>
              <w:left w:val="single" w:color="auto" w:sz="4" w:space="0"/>
              <w:bottom w:val="single" w:color="auto" w:sz="4" w:space="0"/>
              <w:right w:val="single" w:color="auto" w:sz="4" w:space="0"/>
            </w:tcBorders>
            <w:vAlign w:val="center"/>
          </w:tcPr>
          <w:p w14:paraId="424DE590">
            <w:pPr>
              <w:spacing w:line="320" w:lineRule="exact"/>
              <w:ind w:right="79" w:rightChars="25"/>
              <w:jc w:val="center"/>
              <w:rPr>
                <w:sz w:val="24"/>
                <w:szCs w:val="24"/>
              </w:rPr>
            </w:pPr>
            <w:r>
              <w:rPr>
                <w:sz w:val="24"/>
                <w:szCs w:val="24"/>
              </w:rPr>
              <w:t>6.42</w:t>
            </w:r>
          </w:p>
        </w:tc>
      </w:tr>
      <w:tr w14:paraId="270E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2E7F2BDB">
            <w:pPr>
              <w:spacing w:line="320" w:lineRule="exact"/>
              <w:ind w:right="79" w:rightChars="25"/>
              <w:rPr>
                <w:sz w:val="24"/>
                <w:szCs w:val="24"/>
              </w:rPr>
            </w:pPr>
            <w:r>
              <w:rPr>
                <w:rFonts w:hint="eastAsia"/>
                <w:sz w:val="24"/>
                <w:szCs w:val="24"/>
              </w:rPr>
              <w:t>4</w:t>
            </w:r>
            <w:r>
              <w:rPr>
                <w:rFonts w:hint="eastAsia"/>
                <w:sz w:val="24"/>
                <w:szCs w:val="24"/>
                <w:lang w:val="en-US" w:eastAsia="zh-CN"/>
              </w:rPr>
              <w:t>.</w:t>
            </w:r>
            <w:r>
              <w:rPr>
                <w:rFonts w:hint="eastAsia"/>
                <w:sz w:val="24"/>
                <w:szCs w:val="24"/>
              </w:rPr>
              <w:t>城乡居民基本养老保险参保人数</w:t>
            </w:r>
          </w:p>
        </w:tc>
        <w:tc>
          <w:tcPr>
            <w:tcW w:w="787" w:type="dxa"/>
            <w:tcBorders>
              <w:top w:val="single" w:color="auto" w:sz="4" w:space="0"/>
              <w:left w:val="single" w:color="auto" w:sz="4" w:space="0"/>
              <w:bottom w:val="single" w:color="auto" w:sz="4" w:space="0"/>
              <w:right w:val="single" w:color="auto" w:sz="4" w:space="0"/>
            </w:tcBorders>
            <w:vAlign w:val="center"/>
          </w:tcPr>
          <w:p w14:paraId="45001F04">
            <w:pPr>
              <w:spacing w:line="320" w:lineRule="exact"/>
              <w:ind w:right="79" w:rightChars="25"/>
              <w:jc w:val="center"/>
              <w:rPr>
                <w:sz w:val="24"/>
                <w:szCs w:val="24"/>
              </w:rPr>
            </w:pPr>
            <w:r>
              <w:rPr>
                <w:rFonts w:hint="eastAsia"/>
                <w:sz w:val="24"/>
                <w:szCs w:val="24"/>
              </w:rPr>
              <w:t>万人</w:t>
            </w:r>
          </w:p>
        </w:tc>
        <w:tc>
          <w:tcPr>
            <w:tcW w:w="1102" w:type="dxa"/>
            <w:tcBorders>
              <w:top w:val="single" w:color="auto" w:sz="4" w:space="0"/>
              <w:left w:val="single" w:color="auto" w:sz="4" w:space="0"/>
              <w:bottom w:val="single" w:color="auto" w:sz="4" w:space="0"/>
              <w:right w:val="single" w:color="auto" w:sz="4" w:space="0"/>
            </w:tcBorders>
            <w:vAlign w:val="center"/>
          </w:tcPr>
          <w:p w14:paraId="0BCDF385">
            <w:pPr>
              <w:spacing w:line="320" w:lineRule="exact"/>
              <w:ind w:right="79" w:rightChars="25"/>
              <w:jc w:val="center"/>
              <w:rPr>
                <w:sz w:val="24"/>
                <w:szCs w:val="24"/>
              </w:rPr>
            </w:pPr>
            <w:r>
              <w:rPr>
                <w:rFonts w:hint="eastAsia"/>
                <w:sz w:val="24"/>
                <w:szCs w:val="24"/>
              </w:rPr>
              <w:t>211</w:t>
            </w:r>
          </w:p>
        </w:tc>
        <w:tc>
          <w:tcPr>
            <w:tcW w:w="1703" w:type="dxa"/>
            <w:tcBorders>
              <w:top w:val="single" w:color="auto" w:sz="4" w:space="0"/>
              <w:left w:val="single" w:color="auto" w:sz="4" w:space="0"/>
              <w:bottom w:val="single" w:color="auto" w:sz="4" w:space="0"/>
              <w:right w:val="single" w:color="auto" w:sz="4" w:space="0"/>
            </w:tcBorders>
            <w:vAlign w:val="center"/>
          </w:tcPr>
          <w:p w14:paraId="7ADC2BF2">
            <w:pPr>
              <w:spacing w:line="320" w:lineRule="exact"/>
              <w:ind w:right="79" w:rightChars="25"/>
              <w:jc w:val="center"/>
              <w:rPr>
                <w:sz w:val="24"/>
                <w:szCs w:val="24"/>
              </w:rPr>
            </w:pPr>
            <w:r>
              <w:rPr>
                <w:rFonts w:hint="eastAsia"/>
                <w:sz w:val="24"/>
                <w:szCs w:val="24"/>
              </w:rPr>
              <w:t>213</w:t>
            </w:r>
          </w:p>
        </w:tc>
        <w:tc>
          <w:tcPr>
            <w:tcW w:w="1589" w:type="dxa"/>
            <w:tcBorders>
              <w:top w:val="single" w:color="auto" w:sz="4" w:space="0"/>
              <w:left w:val="single" w:color="auto" w:sz="4" w:space="0"/>
              <w:bottom w:val="single" w:color="auto" w:sz="4" w:space="0"/>
              <w:right w:val="single" w:color="auto" w:sz="4" w:space="0"/>
            </w:tcBorders>
            <w:vAlign w:val="center"/>
          </w:tcPr>
          <w:p w14:paraId="19FD695D">
            <w:pPr>
              <w:spacing w:line="320" w:lineRule="exact"/>
              <w:ind w:right="79" w:rightChars="25"/>
              <w:jc w:val="center"/>
              <w:rPr>
                <w:sz w:val="24"/>
                <w:szCs w:val="24"/>
              </w:rPr>
            </w:pPr>
            <w:r>
              <w:rPr>
                <w:rFonts w:hint="eastAsia"/>
                <w:sz w:val="24"/>
                <w:szCs w:val="24"/>
              </w:rPr>
              <w:t>229.65</w:t>
            </w:r>
          </w:p>
        </w:tc>
        <w:tc>
          <w:tcPr>
            <w:tcW w:w="1648" w:type="dxa"/>
            <w:tcBorders>
              <w:top w:val="single" w:color="auto" w:sz="4" w:space="0"/>
              <w:left w:val="single" w:color="auto" w:sz="4" w:space="0"/>
              <w:bottom w:val="single" w:color="auto" w:sz="4" w:space="0"/>
              <w:right w:val="single" w:color="auto" w:sz="4" w:space="0"/>
            </w:tcBorders>
            <w:vAlign w:val="center"/>
          </w:tcPr>
          <w:p w14:paraId="4FCD9A40">
            <w:pPr>
              <w:spacing w:line="320" w:lineRule="exact"/>
              <w:ind w:right="79" w:rightChars="25"/>
              <w:jc w:val="center"/>
              <w:rPr>
                <w:sz w:val="24"/>
                <w:szCs w:val="24"/>
              </w:rPr>
            </w:pPr>
            <w:r>
              <w:rPr>
                <w:sz w:val="24"/>
                <w:szCs w:val="24"/>
              </w:rPr>
              <w:t>3.73</w:t>
            </w:r>
          </w:p>
        </w:tc>
      </w:tr>
      <w:tr w14:paraId="30E9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0FF4D496">
            <w:pPr>
              <w:spacing w:line="320" w:lineRule="exact"/>
              <w:ind w:right="79" w:rightChars="25"/>
              <w:rPr>
                <w:sz w:val="24"/>
                <w:szCs w:val="24"/>
              </w:rPr>
            </w:pPr>
            <w:r>
              <w:rPr>
                <w:rFonts w:hint="eastAsia"/>
                <w:sz w:val="24"/>
                <w:szCs w:val="24"/>
              </w:rPr>
              <w:t>7</w:t>
            </w:r>
            <w:r>
              <w:rPr>
                <w:rFonts w:hint="eastAsia"/>
                <w:sz w:val="24"/>
                <w:szCs w:val="24"/>
                <w:lang w:val="en-US" w:eastAsia="zh-CN"/>
              </w:rPr>
              <w:t>.</w:t>
            </w:r>
            <w:r>
              <w:rPr>
                <w:rFonts w:hint="eastAsia"/>
                <w:sz w:val="24"/>
                <w:szCs w:val="24"/>
              </w:rPr>
              <w:t>失业保险参保人数</w:t>
            </w:r>
          </w:p>
        </w:tc>
        <w:tc>
          <w:tcPr>
            <w:tcW w:w="787" w:type="dxa"/>
            <w:tcBorders>
              <w:top w:val="single" w:color="auto" w:sz="4" w:space="0"/>
              <w:left w:val="single" w:color="auto" w:sz="4" w:space="0"/>
              <w:bottom w:val="single" w:color="auto" w:sz="4" w:space="0"/>
              <w:right w:val="single" w:color="auto" w:sz="4" w:space="0"/>
            </w:tcBorders>
            <w:vAlign w:val="center"/>
          </w:tcPr>
          <w:p w14:paraId="3B9BCB99">
            <w:pPr>
              <w:spacing w:line="320" w:lineRule="exact"/>
              <w:ind w:right="79" w:rightChars="25"/>
              <w:jc w:val="center"/>
              <w:rPr>
                <w:sz w:val="24"/>
                <w:szCs w:val="24"/>
              </w:rPr>
            </w:pPr>
            <w:r>
              <w:rPr>
                <w:rFonts w:hint="eastAsia"/>
                <w:sz w:val="24"/>
                <w:szCs w:val="24"/>
              </w:rPr>
              <w:t>万人</w:t>
            </w:r>
          </w:p>
        </w:tc>
        <w:tc>
          <w:tcPr>
            <w:tcW w:w="1102" w:type="dxa"/>
            <w:tcBorders>
              <w:top w:val="single" w:color="auto" w:sz="4" w:space="0"/>
              <w:left w:val="single" w:color="auto" w:sz="4" w:space="0"/>
              <w:bottom w:val="single" w:color="auto" w:sz="4" w:space="0"/>
              <w:right w:val="single" w:color="auto" w:sz="4" w:space="0"/>
            </w:tcBorders>
            <w:vAlign w:val="center"/>
          </w:tcPr>
          <w:p w14:paraId="6776A6FF">
            <w:pPr>
              <w:spacing w:line="320" w:lineRule="exact"/>
              <w:ind w:right="79" w:rightChars="25"/>
              <w:jc w:val="center"/>
              <w:rPr>
                <w:sz w:val="24"/>
                <w:szCs w:val="24"/>
              </w:rPr>
            </w:pPr>
            <w:r>
              <w:rPr>
                <w:rFonts w:hint="eastAsia"/>
                <w:sz w:val="24"/>
                <w:szCs w:val="24"/>
              </w:rPr>
              <w:t>115</w:t>
            </w:r>
          </w:p>
        </w:tc>
        <w:tc>
          <w:tcPr>
            <w:tcW w:w="1703" w:type="dxa"/>
            <w:tcBorders>
              <w:top w:val="single" w:color="auto" w:sz="4" w:space="0"/>
              <w:left w:val="single" w:color="auto" w:sz="4" w:space="0"/>
              <w:bottom w:val="single" w:color="auto" w:sz="4" w:space="0"/>
              <w:right w:val="single" w:color="auto" w:sz="4" w:space="0"/>
            </w:tcBorders>
            <w:vAlign w:val="center"/>
          </w:tcPr>
          <w:p w14:paraId="1954728A">
            <w:pPr>
              <w:spacing w:line="320" w:lineRule="exact"/>
              <w:ind w:right="79" w:rightChars="25"/>
              <w:jc w:val="center"/>
              <w:rPr>
                <w:sz w:val="24"/>
                <w:szCs w:val="24"/>
              </w:rPr>
            </w:pPr>
            <w:r>
              <w:rPr>
                <w:rFonts w:hint="eastAsia"/>
                <w:sz w:val="24"/>
                <w:szCs w:val="24"/>
              </w:rPr>
              <w:t>122</w:t>
            </w:r>
          </w:p>
        </w:tc>
        <w:tc>
          <w:tcPr>
            <w:tcW w:w="1589" w:type="dxa"/>
            <w:tcBorders>
              <w:top w:val="single" w:color="auto" w:sz="4" w:space="0"/>
              <w:left w:val="single" w:color="auto" w:sz="4" w:space="0"/>
              <w:bottom w:val="single" w:color="auto" w:sz="4" w:space="0"/>
              <w:right w:val="single" w:color="auto" w:sz="4" w:space="0"/>
            </w:tcBorders>
            <w:vAlign w:val="center"/>
          </w:tcPr>
          <w:p w14:paraId="47863362">
            <w:pPr>
              <w:spacing w:line="320" w:lineRule="exact"/>
              <w:ind w:right="79" w:rightChars="25"/>
              <w:jc w:val="center"/>
              <w:rPr>
                <w:sz w:val="24"/>
                <w:szCs w:val="24"/>
              </w:rPr>
            </w:pPr>
            <w:r>
              <w:rPr>
                <w:rFonts w:hint="eastAsia"/>
                <w:sz w:val="24"/>
                <w:szCs w:val="24"/>
              </w:rPr>
              <w:t>141</w:t>
            </w:r>
          </w:p>
        </w:tc>
        <w:tc>
          <w:tcPr>
            <w:tcW w:w="1648" w:type="dxa"/>
            <w:tcBorders>
              <w:top w:val="single" w:color="auto" w:sz="4" w:space="0"/>
              <w:left w:val="single" w:color="auto" w:sz="4" w:space="0"/>
              <w:bottom w:val="single" w:color="auto" w:sz="4" w:space="0"/>
              <w:right w:val="single" w:color="auto" w:sz="4" w:space="0"/>
            </w:tcBorders>
            <w:vAlign w:val="center"/>
          </w:tcPr>
          <w:p w14:paraId="6DA973DC">
            <w:pPr>
              <w:spacing w:line="320" w:lineRule="exact"/>
              <w:ind w:right="79" w:rightChars="25"/>
              <w:jc w:val="center"/>
              <w:rPr>
                <w:sz w:val="24"/>
                <w:szCs w:val="24"/>
              </w:rPr>
            </w:pPr>
            <w:r>
              <w:rPr>
                <w:sz w:val="24"/>
                <w:szCs w:val="24"/>
              </w:rPr>
              <w:t>5.2</w:t>
            </w:r>
          </w:p>
        </w:tc>
      </w:tr>
      <w:tr w14:paraId="2577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4A0C79A2">
            <w:pPr>
              <w:spacing w:line="320" w:lineRule="exact"/>
              <w:ind w:right="79" w:rightChars="25"/>
              <w:rPr>
                <w:sz w:val="24"/>
                <w:szCs w:val="24"/>
              </w:rPr>
            </w:pPr>
            <w:r>
              <w:rPr>
                <w:rFonts w:hint="eastAsia"/>
                <w:sz w:val="24"/>
                <w:szCs w:val="24"/>
              </w:rPr>
              <w:t>8</w:t>
            </w:r>
            <w:r>
              <w:rPr>
                <w:rFonts w:hint="eastAsia"/>
                <w:sz w:val="24"/>
                <w:szCs w:val="24"/>
                <w:lang w:val="en-US" w:eastAsia="zh-CN"/>
              </w:rPr>
              <w:t>.</w:t>
            </w:r>
            <w:r>
              <w:rPr>
                <w:rFonts w:hint="eastAsia"/>
                <w:sz w:val="24"/>
                <w:szCs w:val="24"/>
              </w:rPr>
              <w:t>工伤保险参保人数</w:t>
            </w:r>
          </w:p>
        </w:tc>
        <w:tc>
          <w:tcPr>
            <w:tcW w:w="787" w:type="dxa"/>
            <w:tcBorders>
              <w:top w:val="single" w:color="auto" w:sz="4" w:space="0"/>
              <w:left w:val="single" w:color="auto" w:sz="4" w:space="0"/>
              <w:bottom w:val="single" w:color="auto" w:sz="4" w:space="0"/>
              <w:right w:val="single" w:color="auto" w:sz="4" w:space="0"/>
            </w:tcBorders>
            <w:vAlign w:val="center"/>
          </w:tcPr>
          <w:p w14:paraId="17C4DF73">
            <w:pPr>
              <w:spacing w:line="320" w:lineRule="exact"/>
              <w:ind w:right="79" w:rightChars="25"/>
              <w:jc w:val="center"/>
              <w:rPr>
                <w:sz w:val="24"/>
                <w:szCs w:val="24"/>
              </w:rPr>
            </w:pPr>
            <w:r>
              <w:rPr>
                <w:rFonts w:hint="eastAsia"/>
                <w:sz w:val="24"/>
                <w:szCs w:val="24"/>
              </w:rPr>
              <w:t>万人</w:t>
            </w:r>
          </w:p>
        </w:tc>
        <w:tc>
          <w:tcPr>
            <w:tcW w:w="1102" w:type="dxa"/>
            <w:tcBorders>
              <w:top w:val="single" w:color="auto" w:sz="4" w:space="0"/>
              <w:left w:val="single" w:color="auto" w:sz="4" w:space="0"/>
              <w:bottom w:val="single" w:color="auto" w:sz="4" w:space="0"/>
              <w:right w:val="single" w:color="auto" w:sz="4" w:space="0"/>
            </w:tcBorders>
            <w:vAlign w:val="center"/>
          </w:tcPr>
          <w:p w14:paraId="21A143FC">
            <w:pPr>
              <w:spacing w:line="320" w:lineRule="exact"/>
              <w:ind w:right="79" w:rightChars="25"/>
              <w:jc w:val="center"/>
              <w:rPr>
                <w:sz w:val="24"/>
                <w:szCs w:val="24"/>
              </w:rPr>
            </w:pPr>
            <w:r>
              <w:rPr>
                <w:rFonts w:hint="eastAsia"/>
                <w:sz w:val="24"/>
                <w:szCs w:val="24"/>
              </w:rPr>
              <w:t>145</w:t>
            </w:r>
          </w:p>
        </w:tc>
        <w:tc>
          <w:tcPr>
            <w:tcW w:w="1703" w:type="dxa"/>
            <w:tcBorders>
              <w:top w:val="single" w:color="auto" w:sz="4" w:space="0"/>
              <w:left w:val="single" w:color="auto" w:sz="4" w:space="0"/>
              <w:bottom w:val="single" w:color="auto" w:sz="4" w:space="0"/>
              <w:right w:val="single" w:color="auto" w:sz="4" w:space="0"/>
            </w:tcBorders>
            <w:vAlign w:val="center"/>
          </w:tcPr>
          <w:p w14:paraId="01152B06">
            <w:pPr>
              <w:spacing w:line="320" w:lineRule="exact"/>
              <w:ind w:right="79" w:rightChars="25"/>
              <w:jc w:val="center"/>
              <w:rPr>
                <w:sz w:val="24"/>
                <w:szCs w:val="24"/>
              </w:rPr>
            </w:pPr>
            <w:r>
              <w:rPr>
                <w:rFonts w:hint="eastAsia"/>
                <w:sz w:val="24"/>
                <w:szCs w:val="24"/>
              </w:rPr>
              <w:t>152</w:t>
            </w:r>
          </w:p>
        </w:tc>
        <w:tc>
          <w:tcPr>
            <w:tcW w:w="1589" w:type="dxa"/>
            <w:tcBorders>
              <w:top w:val="single" w:color="auto" w:sz="4" w:space="0"/>
              <w:left w:val="single" w:color="auto" w:sz="4" w:space="0"/>
              <w:bottom w:val="single" w:color="auto" w:sz="4" w:space="0"/>
              <w:right w:val="single" w:color="auto" w:sz="4" w:space="0"/>
            </w:tcBorders>
            <w:vAlign w:val="center"/>
          </w:tcPr>
          <w:p w14:paraId="2E4A1415">
            <w:pPr>
              <w:spacing w:line="320" w:lineRule="exact"/>
              <w:ind w:right="79" w:rightChars="25"/>
              <w:jc w:val="center"/>
              <w:rPr>
                <w:sz w:val="24"/>
                <w:szCs w:val="24"/>
              </w:rPr>
            </w:pPr>
            <w:r>
              <w:rPr>
                <w:rFonts w:hint="eastAsia"/>
                <w:sz w:val="24"/>
                <w:szCs w:val="24"/>
              </w:rPr>
              <w:t>181.4</w:t>
            </w:r>
          </w:p>
        </w:tc>
        <w:tc>
          <w:tcPr>
            <w:tcW w:w="1648" w:type="dxa"/>
            <w:tcBorders>
              <w:top w:val="single" w:color="auto" w:sz="4" w:space="0"/>
              <w:left w:val="single" w:color="auto" w:sz="4" w:space="0"/>
              <w:bottom w:val="single" w:color="auto" w:sz="4" w:space="0"/>
              <w:right w:val="single" w:color="auto" w:sz="4" w:space="0"/>
            </w:tcBorders>
            <w:vAlign w:val="center"/>
          </w:tcPr>
          <w:p w14:paraId="11C899A0">
            <w:pPr>
              <w:spacing w:line="320" w:lineRule="exact"/>
              <w:ind w:right="79" w:rightChars="25"/>
              <w:jc w:val="center"/>
              <w:rPr>
                <w:sz w:val="24"/>
                <w:szCs w:val="24"/>
              </w:rPr>
            </w:pPr>
            <w:r>
              <w:rPr>
                <w:sz w:val="24"/>
                <w:szCs w:val="24"/>
              </w:rPr>
              <w:t>7.28</w:t>
            </w:r>
          </w:p>
        </w:tc>
      </w:tr>
      <w:tr w14:paraId="36BB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5" w:type="dxa"/>
            <w:gridSpan w:val="6"/>
            <w:tcBorders>
              <w:top w:val="single" w:color="auto" w:sz="4" w:space="0"/>
              <w:left w:val="single" w:color="auto" w:sz="4" w:space="0"/>
              <w:bottom w:val="single" w:color="auto" w:sz="4" w:space="0"/>
              <w:right w:val="single" w:color="auto" w:sz="4" w:space="0"/>
            </w:tcBorders>
            <w:vAlign w:val="center"/>
          </w:tcPr>
          <w:p w14:paraId="3540EFA0">
            <w:pPr>
              <w:spacing w:line="320" w:lineRule="exact"/>
              <w:rPr>
                <w:sz w:val="24"/>
                <w:szCs w:val="24"/>
              </w:rPr>
            </w:pPr>
            <w:r>
              <w:rPr>
                <w:rFonts w:hint="eastAsia"/>
                <w:b/>
                <w:sz w:val="24"/>
                <w:szCs w:val="24"/>
              </w:rPr>
              <w:t>三、人才队伍建设</w:t>
            </w:r>
          </w:p>
        </w:tc>
      </w:tr>
      <w:tr w14:paraId="7D34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38D6A7DB">
            <w:pPr>
              <w:spacing w:line="320" w:lineRule="exact"/>
              <w:ind w:right="79" w:rightChars="25"/>
              <w:rPr>
                <w:sz w:val="24"/>
                <w:szCs w:val="24"/>
              </w:rPr>
            </w:pPr>
            <w:r>
              <w:rPr>
                <w:rFonts w:hint="eastAsia"/>
                <w:sz w:val="24"/>
                <w:szCs w:val="24"/>
              </w:rPr>
              <w:t>10</w:t>
            </w:r>
            <w:r>
              <w:rPr>
                <w:rFonts w:hint="eastAsia"/>
                <w:sz w:val="24"/>
                <w:szCs w:val="24"/>
                <w:lang w:val="en-US" w:eastAsia="zh-CN"/>
              </w:rPr>
              <w:t>.</w:t>
            </w:r>
            <w:r>
              <w:rPr>
                <w:rFonts w:hint="eastAsia"/>
                <w:sz w:val="24"/>
                <w:szCs w:val="24"/>
              </w:rPr>
              <w:t>人才资源总量</w:t>
            </w:r>
          </w:p>
        </w:tc>
        <w:tc>
          <w:tcPr>
            <w:tcW w:w="787" w:type="dxa"/>
            <w:tcBorders>
              <w:top w:val="single" w:color="auto" w:sz="4" w:space="0"/>
              <w:left w:val="single" w:color="auto" w:sz="4" w:space="0"/>
              <w:bottom w:val="single" w:color="auto" w:sz="4" w:space="0"/>
              <w:right w:val="single" w:color="auto" w:sz="4" w:space="0"/>
            </w:tcBorders>
            <w:vAlign w:val="center"/>
          </w:tcPr>
          <w:p w14:paraId="2ED6033E">
            <w:pPr>
              <w:spacing w:line="320" w:lineRule="exact"/>
              <w:ind w:right="79" w:rightChars="25"/>
              <w:jc w:val="center"/>
              <w:rPr>
                <w:sz w:val="24"/>
                <w:szCs w:val="24"/>
              </w:rPr>
            </w:pPr>
            <w:r>
              <w:rPr>
                <w:rFonts w:hint="eastAsia"/>
                <w:sz w:val="24"/>
                <w:szCs w:val="24"/>
              </w:rPr>
              <w:t>万人</w:t>
            </w:r>
          </w:p>
        </w:tc>
        <w:tc>
          <w:tcPr>
            <w:tcW w:w="1102" w:type="dxa"/>
            <w:tcBorders>
              <w:top w:val="single" w:color="auto" w:sz="4" w:space="0"/>
              <w:left w:val="single" w:color="auto" w:sz="4" w:space="0"/>
              <w:bottom w:val="single" w:color="auto" w:sz="4" w:space="0"/>
              <w:right w:val="single" w:color="auto" w:sz="4" w:space="0"/>
            </w:tcBorders>
            <w:vAlign w:val="center"/>
          </w:tcPr>
          <w:p w14:paraId="39C59ABF">
            <w:pPr>
              <w:spacing w:line="320" w:lineRule="exact"/>
              <w:ind w:right="79" w:rightChars="25"/>
              <w:jc w:val="center"/>
              <w:rPr>
                <w:sz w:val="24"/>
                <w:szCs w:val="24"/>
              </w:rPr>
            </w:pPr>
            <w:r>
              <w:rPr>
                <w:sz w:val="24"/>
                <w:szCs w:val="24"/>
              </w:rPr>
              <w:t>108.5</w:t>
            </w:r>
          </w:p>
        </w:tc>
        <w:tc>
          <w:tcPr>
            <w:tcW w:w="1703" w:type="dxa"/>
            <w:tcBorders>
              <w:top w:val="single" w:color="auto" w:sz="4" w:space="0"/>
              <w:left w:val="single" w:color="auto" w:sz="4" w:space="0"/>
              <w:bottom w:val="single" w:color="auto" w:sz="4" w:space="0"/>
              <w:right w:val="single" w:color="auto" w:sz="4" w:space="0"/>
            </w:tcBorders>
            <w:vAlign w:val="center"/>
          </w:tcPr>
          <w:p w14:paraId="27604C09">
            <w:pPr>
              <w:spacing w:line="320" w:lineRule="exact"/>
              <w:ind w:right="79" w:rightChars="25"/>
              <w:jc w:val="center"/>
              <w:rPr>
                <w:sz w:val="24"/>
                <w:szCs w:val="24"/>
              </w:rPr>
            </w:pPr>
            <w:r>
              <w:rPr>
                <w:sz w:val="24"/>
                <w:szCs w:val="24"/>
              </w:rPr>
              <w:t>133.1</w:t>
            </w:r>
          </w:p>
        </w:tc>
        <w:tc>
          <w:tcPr>
            <w:tcW w:w="1589" w:type="dxa"/>
            <w:tcBorders>
              <w:top w:val="single" w:color="auto" w:sz="4" w:space="0"/>
              <w:left w:val="single" w:color="auto" w:sz="4" w:space="0"/>
              <w:bottom w:val="single" w:color="auto" w:sz="4" w:space="0"/>
              <w:right w:val="single" w:color="auto" w:sz="4" w:space="0"/>
            </w:tcBorders>
            <w:vAlign w:val="center"/>
          </w:tcPr>
          <w:p w14:paraId="6F2CD789">
            <w:pPr>
              <w:spacing w:line="320" w:lineRule="exact"/>
              <w:ind w:right="79" w:rightChars="25"/>
              <w:jc w:val="center"/>
              <w:rPr>
                <w:sz w:val="24"/>
                <w:szCs w:val="24"/>
              </w:rPr>
            </w:pPr>
            <w:r>
              <w:rPr>
                <w:sz w:val="24"/>
                <w:szCs w:val="24"/>
              </w:rPr>
              <w:t>138.5</w:t>
            </w:r>
          </w:p>
        </w:tc>
        <w:tc>
          <w:tcPr>
            <w:tcW w:w="1648" w:type="dxa"/>
            <w:tcBorders>
              <w:top w:val="single" w:color="auto" w:sz="4" w:space="0"/>
              <w:left w:val="single" w:color="auto" w:sz="4" w:space="0"/>
              <w:bottom w:val="single" w:color="auto" w:sz="4" w:space="0"/>
              <w:right w:val="single" w:color="auto" w:sz="4" w:space="0"/>
            </w:tcBorders>
            <w:vAlign w:val="center"/>
          </w:tcPr>
          <w:p w14:paraId="0AB968DD">
            <w:pPr>
              <w:spacing w:line="320" w:lineRule="exact"/>
              <w:ind w:right="79" w:rightChars="25"/>
              <w:jc w:val="center"/>
              <w:rPr>
                <w:sz w:val="24"/>
                <w:szCs w:val="24"/>
              </w:rPr>
            </w:pPr>
            <w:r>
              <w:rPr>
                <w:sz w:val="24"/>
                <w:szCs w:val="24"/>
              </w:rPr>
              <w:t>6</w:t>
            </w:r>
          </w:p>
        </w:tc>
      </w:tr>
      <w:tr w14:paraId="3E06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7F7EC6AD">
            <w:pPr>
              <w:spacing w:line="320" w:lineRule="exact"/>
              <w:ind w:right="79" w:rightChars="25"/>
              <w:jc w:val="both"/>
              <w:rPr>
                <w:sz w:val="24"/>
                <w:szCs w:val="24"/>
              </w:rPr>
            </w:pPr>
            <w:r>
              <w:rPr>
                <w:rFonts w:hint="eastAsia"/>
                <w:sz w:val="24"/>
                <w:szCs w:val="24"/>
              </w:rPr>
              <w:t>11</w:t>
            </w:r>
            <w:r>
              <w:rPr>
                <w:rFonts w:hint="eastAsia"/>
                <w:sz w:val="24"/>
                <w:szCs w:val="24"/>
                <w:lang w:val="en-US" w:eastAsia="zh-CN"/>
              </w:rPr>
              <w:t>.</w:t>
            </w:r>
            <w:r>
              <w:rPr>
                <w:rFonts w:hint="eastAsia"/>
                <w:sz w:val="24"/>
                <w:szCs w:val="24"/>
              </w:rPr>
              <w:t>专业技术人才总量</w:t>
            </w:r>
          </w:p>
        </w:tc>
        <w:tc>
          <w:tcPr>
            <w:tcW w:w="787" w:type="dxa"/>
            <w:tcBorders>
              <w:top w:val="single" w:color="auto" w:sz="4" w:space="0"/>
              <w:left w:val="single" w:color="auto" w:sz="4" w:space="0"/>
              <w:bottom w:val="single" w:color="auto" w:sz="4" w:space="0"/>
              <w:right w:val="single" w:color="auto" w:sz="4" w:space="0"/>
            </w:tcBorders>
            <w:vAlign w:val="center"/>
          </w:tcPr>
          <w:p w14:paraId="47DC32E5">
            <w:pPr>
              <w:spacing w:line="320" w:lineRule="exact"/>
              <w:ind w:right="79" w:rightChars="25"/>
              <w:jc w:val="center"/>
              <w:rPr>
                <w:sz w:val="24"/>
                <w:szCs w:val="24"/>
              </w:rPr>
            </w:pPr>
            <w:r>
              <w:rPr>
                <w:rFonts w:hint="eastAsia"/>
                <w:sz w:val="24"/>
                <w:szCs w:val="24"/>
              </w:rPr>
              <w:t>万人</w:t>
            </w:r>
          </w:p>
        </w:tc>
        <w:tc>
          <w:tcPr>
            <w:tcW w:w="1102" w:type="dxa"/>
            <w:tcBorders>
              <w:top w:val="single" w:color="auto" w:sz="4" w:space="0"/>
              <w:left w:val="single" w:color="auto" w:sz="4" w:space="0"/>
              <w:bottom w:val="single" w:color="auto" w:sz="4" w:space="0"/>
              <w:right w:val="single" w:color="auto" w:sz="4" w:space="0"/>
            </w:tcBorders>
            <w:vAlign w:val="center"/>
          </w:tcPr>
          <w:p w14:paraId="6804B84B">
            <w:pPr>
              <w:spacing w:line="320" w:lineRule="exact"/>
              <w:ind w:right="79" w:rightChars="25"/>
              <w:jc w:val="center"/>
              <w:rPr>
                <w:sz w:val="24"/>
                <w:szCs w:val="24"/>
              </w:rPr>
            </w:pPr>
            <w:r>
              <w:rPr>
                <w:rFonts w:hint="eastAsia"/>
                <w:sz w:val="24"/>
                <w:szCs w:val="24"/>
              </w:rPr>
              <w:t>53.7</w:t>
            </w:r>
          </w:p>
        </w:tc>
        <w:tc>
          <w:tcPr>
            <w:tcW w:w="1703" w:type="dxa"/>
            <w:tcBorders>
              <w:top w:val="single" w:color="auto" w:sz="4" w:space="0"/>
              <w:left w:val="single" w:color="auto" w:sz="4" w:space="0"/>
              <w:bottom w:val="single" w:color="auto" w:sz="4" w:space="0"/>
              <w:right w:val="single" w:color="auto" w:sz="4" w:space="0"/>
            </w:tcBorders>
            <w:vAlign w:val="center"/>
          </w:tcPr>
          <w:p w14:paraId="73FA0ECF">
            <w:pPr>
              <w:spacing w:line="320" w:lineRule="exact"/>
              <w:ind w:right="79" w:rightChars="25"/>
              <w:jc w:val="center"/>
              <w:rPr>
                <w:sz w:val="24"/>
                <w:szCs w:val="24"/>
              </w:rPr>
            </w:pPr>
            <w:r>
              <w:rPr>
                <w:rFonts w:hint="eastAsia"/>
                <w:sz w:val="24"/>
                <w:szCs w:val="24"/>
              </w:rPr>
              <w:t>65.3</w:t>
            </w:r>
          </w:p>
        </w:tc>
        <w:tc>
          <w:tcPr>
            <w:tcW w:w="1589" w:type="dxa"/>
            <w:tcBorders>
              <w:top w:val="single" w:color="auto" w:sz="4" w:space="0"/>
              <w:left w:val="single" w:color="auto" w:sz="4" w:space="0"/>
              <w:bottom w:val="single" w:color="auto" w:sz="4" w:space="0"/>
              <w:right w:val="single" w:color="auto" w:sz="4" w:space="0"/>
            </w:tcBorders>
            <w:vAlign w:val="center"/>
          </w:tcPr>
          <w:p w14:paraId="533B258F">
            <w:pPr>
              <w:spacing w:line="320" w:lineRule="exact"/>
              <w:ind w:right="79" w:rightChars="25"/>
              <w:jc w:val="center"/>
              <w:rPr>
                <w:sz w:val="24"/>
                <w:szCs w:val="24"/>
              </w:rPr>
            </w:pPr>
            <w:r>
              <w:rPr>
                <w:rFonts w:hint="eastAsia"/>
                <w:sz w:val="24"/>
                <w:szCs w:val="24"/>
              </w:rPr>
              <w:t>65.5</w:t>
            </w:r>
          </w:p>
        </w:tc>
        <w:tc>
          <w:tcPr>
            <w:tcW w:w="1648" w:type="dxa"/>
            <w:tcBorders>
              <w:top w:val="single" w:color="auto" w:sz="4" w:space="0"/>
              <w:left w:val="single" w:color="auto" w:sz="4" w:space="0"/>
              <w:bottom w:val="single" w:color="auto" w:sz="4" w:space="0"/>
              <w:right w:val="single" w:color="auto" w:sz="4" w:space="0"/>
            </w:tcBorders>
            <w:vAlign w:val="center"/>
          </w:tcPr>
          <w:p w14:paraId="3C9E1571">
            <w:pPr>
              <w:spacing w:line="320" w:lineRule="exact"/>
              <w:ind w:right="79" w:rightChars="25"/>
              <w:jc w:val="center"/>
              <w:rPr>
                <w:sz w:val="24"/>
                <w:szCs w:val="24"/>
              </w:rPr>
            </w:pPr>
            <w:r>
              <w:rPr>
                <w:rFonts w:hint="eastAsia"/>
                <w:sz w:val="24"/>
                <w:szCs w:val="24"/>
              </w:rPr>
              <w:t>2.36</w:t>
            </w:r>
          </w:p>
        </w:tc>
      </w:tr>
      <w:tr w14:paraId="758A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2A696D2B">
            <w:pPr>
              <w:spacing w:line="320" w:lineRule="exact"/>
              <w:ind w:right="79" w:rightChars="25"/>
              <w:jc w:val="left"/>
              <w:rPr>
                <w:sz w:val="24"/>
                <w:szCs w:val="24"/>
              </w:rPr>
            </w:pPr>
            <w:r>
              <w:rPr>
                <w:rFonts w:hint="eastAsia"/>
                <w:sz w:val="24"/>
                <w:szCs w:val="24"/>
              </w:rPr>
              <w:t>12</w:t>
            </w:r>
            <w:r>
              <w:rPr>
                <w:rFonts w:hint="eastAsia"/>
                <w:sz w:val="24"/>
                <w:szCs w:val="24"/>
                <w:lang w:val="en-US" w:eastAsia="zh-CN"/>
              </w:rPr>
              <w:t>.</w:t>
            </w:r>
            <w:r>
              <w:rPr>
                <w:rFonts w:hint="eastAsia"/>
                <w:sz w:val="24"/>
                <w:szCs w:val="24"/>
              </w:rPr>
              <w:t>高、中、初级专业技术人才比例</w:t>
            </w:r>
          </w:p>
        </w:tc>
        <w:tc>
          <w:tcPr>
            <w:tcW w:w="787" w:type="dxa"/>
            <w:tcBorders>
              <w:top w:val="single" w:color="auto" w:sz="4" w:space="0"/>
              <w:left w:val="single" w:color="auto" w:sz="4" w:space="0"/>
              <w:bottom w:val="single" w:color="auto" w:sz="4" w:space="0"/>
              <w:right w:val="single" w:color="auto" w:sz="4" w:space="0"/>
            </w:tcBorders>
            <w:vAlign w:val="center"/>
          </w:tcPr>
          <w:p w14:paraId="5EAFE2D3">
            <w:pPr>
              <w:spacing w:line="320" w:lineRule="exact"/>
              <w:ind w:right="79" w:rightChars="25"/>
              <w:jc w:val="center"/>
              <w:rPr>
                <w:sz w:val="24"/>
                <w:szCs w:val="24"/>
              </w:rPr>
            </w:pPr>
            <w:r>
              <w:rPr>
                <w:rFonts w:hint="eastAsia"/>
                <w:sz w:val="24"/>
                <w:szCs w:val="24"/>
              </w:rPr>
              <w:t>%</w:t>
            </w:r>
          </w:p>
        </w:tc>
        <w:tc>
          <w:tcPr>
            <w:tcW w:w="1102" w:type="dxa"/>
            <w:tcBorders>
              <w:top w:val="single" w:color="auto" w:sz="4" w:space="0"/>
              <w:left w:val="single" w:color="auto" w:sz="4" w:space="0"/>
              <w:bottom w:val="single" w:color="auto" w:sz="4" w:space="0"/>
              <w:right w:val="single" w:color="auto" w:sz="4" w:space="0"/>
            </w:tcBorders>
            <w:vAlign w:val="center"/>
          </w:tcPr>
          <w:p w14:paraId="7634EFD6">
            <w:pPr>
              <w:spacing w:line="320" w:lineRule="exact"/>
              <w:ind w:right="79" w:rightChars="25"/>
              <w:jc w:val="center"/>
              <w:rPr>
                <w:sz w:val="24"/>
                <w:szCs w:val="24"/>
              </w:rPr>
            </w:pPr>
            <w:r>
              <w:rPr>
                <w:rFonts w:hint="eastAsia"/>
                <w:sz w:val="24"/>
                <w:szCs w:val="24"/>
              </w:rPr>
              <w:t>13:39:48</w:t>
            </w:r>
          </w:p>
        </w:tc>
        <w:tc>
          <w:tcPr>
            <w:tcW w:w="1703" w:type="dxa"/>
            <w:tcBorders>
              <w:top w:val="single" w:color="auto" w:sz="4" w:space="0"/>
              <w:left w:val="single" w:color="auto" w:sz="4" w:space="0"/>
              <w:bottom w:val="single" w:color="auto" w:sz="4" w:space="0"/>
              <w:right w:val="single" w:color="auto" w:sz="4" w:space="0"/>
            </w:tcBorders>
            <w:vAlign w:val="center"/>
          </w:tcPr>
          <w:p w14:paraId="2349248B">
            <w:pPr>
              <w:spacing w:line="320" w:lineRule="exact"/>
              <w:ind w:right="79" w:rightChars="25"/>
              <w:jc w:val="center"/>
              <w:rPr>
                <w:sz w:val="24"/>
                <w:szCs w:val="24"/>
              </w:rPr>
            </w:pPr>
            <w:r>
              <w:rPr>
                <w:rFonts w:hint="eastAsia"/>
                <w:sz w:val="24"/>
                <w:szCs w:val="24"/>
              </w:rPr>
              <w:t>26:41:33</w:t>
            </w:r>
          </w:p>
        </w:tc>
        <w:tc>
          <w:tcPr>
            <w:tcW w:w="1589" w:type="dxa"/>
            <w:tcBorders>
              <w:top w:val="single" w:color="auto" w:sz="4" w:space="0"/>
              <w:left w:val="single" w:color="auto" w:sz="4" w:space="0"/>
              <w:bottom w:val="single" w:color="auto" w:sz="4" w:space="0"/>
              <w:right w:val="single" w:color="auto" w:sz="4" w:space="0"/>
            </w:tcBorders>
            <w:vAlign w:val="center"/>
          </w:tcPr>
          <w:p w14:paraId="32DAC482">
            <w:pPr>
              <w:spacing w:line="320" w:lineRule="exact"/>
              <w:ind w:right="79" w:rightChars="25"/>
              <w:jc w:val="center"/>
              <w:rPr>
                <w:sz w:val="24"/>
                <w:szCs w:val="24"/>
              </w:rPr>
            </w:pPr>
            <w:r>
              <w:rPr>
                <w:rFonts w:hint="eastAsia"/>
                <w:sz w:val="24"/>
                <w:szCs w:val="24"/>
              </w:rPr>
              <w:t>23：36：46</w:t>
            </w:r>
          </w:p>
        </w:tc>
        <w:tc>
          <w:tcPr>
            <w:tcW w:w="1648" w:type="dxa"/>
            <w:tcBorders>
              <w:top w:val="single" w:color="auto" w:sz="4" w:space="0"/>
              <w:left w:val="single" w:color="auto" w:sz="4" w:space="0"/>
              <w:bottom w:val="single" w:color="auto" w:sz="4" w:space="0"/>
              <w:right w:val="single" w:color="auto" w:sz="4" w:space="0"/>
            </w:tcBorders>
            <w:vAlign w:val="center"/>
          </w:tcPr>
          <w:p w14:paraId="3DD48583">
            <w:pPr>
              <w:spacing w:line="320" w:lineRule="exact"/>
              <w:ind w:right="79" w:rightChars="25"/>
              <w:jc w:val="center"/>
              <w:rPr>
                <w:sz w:val="24"/>
                <w:szCs w:val="24"/>
              </w:rPr>
            </w:pPr>
            <w:r>
              <w:rPr>
                <w:rFonts w:hint="eastAsia"/>
                <w:sz w:val="24"/>
                <w:szCs w:val="24"/>
              </w:rPr>
              <w:t>—</w:t>
            </w:r>
          </w:p>
        </w:tc>
      </w:tr>
      <w:tr w14:paraId="79C4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05ABC36E">
            <w:pPr>
              <w:spacing w:line="320" w:lineRule="exact"/>
              <w:ind w:right="79" w:rightChars="25"/>
              <w:jc w:val="both"/>
              <w:rPr>
                <w:sz w:val="24"/>
                <w:szCs w:val="24"/>
              </w:rPr>
            </w:pPr>
            <w:r>
              <w:rPr>
                <w:rFonts w:hint="eastAsia"/>
                <w:sz w:val="24"/>
                <w:szCs w:val="24"/>
              </w:rPr>
              <w:t>13</w:t>
            </w:r>
            <w:r>
              <w:rPr>
                <w:rFonts w:hint="eastAsia"/>
                <w:sz w:val="24"/>
                <w:szCs w:val="24"/>
                <w:lang w:val="en-US" w:eastAsia="zh-CN"/>
              </w:rPr>
              <w:t>.</w:t>
            </w:r>
            <w:r>
              <w:rPr>
                <w:rFonts w:hint="eastAsia"/>
                <w:sz w:val="24"/>
                <w:szCs w:val="24"/>
              </w:rPr>
              <w:t>高技能人才总量</w:t>
            </w:r>
          </w:p>
        </w:tc>
        <w:tc>
          <w:tcPr>
            <w:tcW w:w="787" w:type="dxa"/>
            <w:tcBorders>
              <w:top w:val="single" w:color="auto" w:sz="4" w:space="0"/>
              <w:left w:val="single" w:color="auto" w:sz="4" w:space="0"/>
              <w:bottom w:val="single" w:color="auto" w:sz="4" w:space="0"/>
              <w:right w:val="single" w:color="auto" w:sz="4" w:space="0"/>
            </w:tcBorders>
            <w:vAlign w:val="center"/>
          </w:tcPr>
          <w:p w14:paraId="79A77C8A">
            <w:pPr>
              <w:spacing w:line="320" w:lineRule="exact"/>
              <w:ind w:right="79" w:rightChars="25"/>
              <w:jc w:val="center"/>
              <w:rPr>
                <w:sz w:val="24"/>
                <w:szCs w:val="24"/>
              </w:rPr>
            </w:pPr>
            <w:r>
              <w:rPr>
                <w:rFonts w:hint="eastAsia"/>
                <w:sz w:val="24"/>
                <w:szCs w:val="24"/>
              </w:rPr>
              <w:t>万人</w:t>
            </w:r>
          </w:p>
        </w:tc>
        <w:tc>
          <w:tcPr>
            <w:tcW w:w="1102" w:type="dxa"/>
            <w:tcBorders>
              <w:top w:val="single" w:color="auto" w:sz="4" w:space="0"/>
              <w:left w:val="single" w:color="auto" w:sz="4" w:space="0"/>
              <w:bottom w:val="single" w:color="auto" w:sz="4" w:space="0"/>
              <w:right w:val="single" w:color="auto" w:sz="4" w:space="0"/>
            </w:tcBorders>
            <w:vAlign w:val="center"/>
          </w:tcPr>
          <w:p w14:paraId="6A64B8B2">
            <w:pPr>
              <w:spacing w:line="320" w:lineRule="exact"/>
              <w:ind w:right="79" w:rightChars="25"/>
              <w:jc w:val="center"/>
              <w:rPr>
                <w:sz w:val="24"/>
                <w:szCs w:val="24"/>
              </w:rPr>
            </w:pPr>
            <w:r>
              <w:rPr>
                <w:rFonts w:hint="eastAsia"/>
                <w:sz w:val="24"/>
                <w:szCs w:val="24"/>
              </w:rPr>
              <w:t>19.7</w:t>
            </w:r>
          </w:p>
        </w:tc>
        <w:tc>
          <w:tcPr>
            <w:tcW w:w="1703" w:type="dxa"/>
            <w:tcBorders>
              <w:top w:val="single" w:color="auto" w:sz="4" w:space="0"/>
              <w:left w:val="single" w:color="auto" w:sz="4" w:space="0"/>
              <w:bottom w:val="single" w:color="auto" w:sz="4" w:space="0"/>
              <w:right w:val="single" w:color="auto" w:sz="4" w:space="0"/>
            </w:tcBorders>
            <w:vAlign w:val="center"/>
          </w:tcPr>
          <w:p w14:paraId="6C6C18CE">
            <w:pPr>
              <w:spacing w:line="320" w:lineRule="exact"/>
              <w:ind w:right="79" w:rightChars="25"/>
              <w:jc w:val="center"/>
              <w:rPr>
                <w:sz w:val="24"/>
                <w:szCs w:val="24"/>
              </w:rPr>
            </w:pPr>
            <w:r>
              <w:rPr>
                <w:rFonts w:hint="eastAsia"/>
                <w:sz w:val="24"/>
                <w:szCs w:val="24"/>
              </w:rPr>
              <w:t>23.2</w:t>
            </w:r>
          </w:p>
        </w:tc>
        <w:tc>
          <w:tcPr>
            <w:tcW w:w="1589" w:type="dxa"/>
            <w:tcBorders>
              <w:top w:val="single" w:color="auto" w:sz="4" w:space="0"/>
              <w:left w:val="single" w:color="auto" w:sz="4" w:space="0"/>
              <w:bottom w:val="single" w:color="auto" w:sz="4" w:space="0"/>
              <w:right w:val="single" w:color="auto" w:sz="4" w:space="0"/>
            </w:tcBorders>
            <w:vAlign w:val="center"/>
          </w:tcPr>
          <w:p w14:paraId="2A5B7B61">
            <w:pPr>
              <w:spacing w:line="320" w:lineRule="exact"/>
              <w:ind w:right="79" w:rightChars="25"/>
              <w:jc w:val="center"/>
              <w:rPr>
                <w:sz w:val="24"/>
                <w:szCs w:val="24"/>
              </w:rPr>
            </w:pPr>
            <w:r>
              <w:rPr>
                <w:rFonts w:hint="eastAsia"/>
                <w:sz w:val="24"/>
                <w:szCs w:val="24"/>
              </w:rPr>
              <w:t>24.6</w:t>
            </w:r>
          </w:p>
        </w:tc>
        <w:tc>
          <w:tcPr>
            <w:tcW w:w="1648" w:type="dxa"/>
            <w:tcBorders>
              <w:top w:val="single" w:color="auto" w:sz="4" w:space="0"/>
              <w:left w:val="single" w:color="auto" w:sz="4" w:space="0"/>
              <w:bottom w:val="single" w:color="auto" w:sz="4" w:space="0"/>
              <w:right w:val="single" w:color="auto" w:sz="4" w:space="0"/>
            </w:tcBorders>
            <w:vAlign w:val="center"/>
          </w:tcPr>
          <w:p w14:paraId="5A75E50E">
            <w:pPr>
              <w:spacing w:line="320" w:lineRule="exact"/>
              <w:ind w:right="79" w:rightChars="25"/>
              <w:jc w:val="center"/>
              <w:rPr>
                <w:sz w:val="24"/>
                <w:szCs w:val="24"/>
              </w:rPr>
            </w:pPr>
            <w:r>
              <w:rPr>
                <w:rFonts w:hint="eastAsia"/>
                <w:sz w:val="24"/>
                <w:szCs w:val="24"/>
              </w:rPr>
              <w:t>0.98</w:t>
            </w:r>
          </w:p>
        </w:tc>
      </w:tr>
      <w:tr w14:paraId="35B6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5" w:type="dxa"/>
            <w:gridSpan w:val="6"/>
            <w:tcBorders>
              <w:top w:val="single" w:color="auto" w:sz="4" w:space="0"/>
              <w:left w:val="single" w:color="auto" w:sz="4" w:space="0"/>
              <w:bottom w:val="single" w:color="auto" w:sz="4" w:space="0"/>
              <w:right w:val="single" w:color="auto" w:sz="4" w:space="0"/>
            </w:tcBorders>
            <w:vAlign w:val="center"/>
          </w:tcPr>
          <w:p w14:paraId="3FE1C769">
            <w:pPr>
              <w:spacing w:line="320" w:lineRule="exact"/>
              <w:rPr>
                <w:sz w:val="24"/>
                <w:szCs w:val="24"/>
              </w:rPr>
            </w:pPr>
            <w:r>
              <w:rPr>
                <w:rFonts w:hint="eastAsia"/>
                <w:b/>
                <w:sz w:val="24"/>
                <w:szCs w:val="24"/>
              </w:rPr>
              <w:t>四、劳动关系</w:t>
            </w:r>
          </w:p>
        </w:tc>
      </w:tr>
      <w:tr w14:paraId="495A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4CBC1A68">
            <w:pPr>
              <w:spacing w:line="320" w:lineRule="exact"/>
              <w:ind w:right="79" w:rightChars="25"/>
              <w:rPr>
                <w:sz w:val="24"/>
                <w:szCs w:val="24"/>
              </w:rPr>
            </w:pPr>
            <w:r>
              <w:rPr>
                <w:rFonts w:hint="eastAsia"/>
                <w:sz w:val="24"/>
                <w:szCs w:val="24"/>
              </w:rPr>
              <w:t>14</w:t>
            </w:r>
            <w:r>
              <w:rPr>
                <w:rFonts w:hint="eastAsia"/>
                <w:sz w:val="24"/>
                <w:szCs w:val="24"/>
                <w:lang w:val="en-US" w:eastAsia="zh-CN"/>
              </w:rPr>
              <w:t>.</w:t>
            </w:r>
            <w:r>
              <w:rPr>
                <w:rFonts w:hint="eastAsia"/>
                <w:sz w:val="24"/>
                <w:szCs w:val="24"/>
              </w:rPr>
              <w:t>企业劳动合同签订率</w:t>
            </w:r>
          </w:p>
        </w:tc>
        <w:tc>
          <w:tcPr>
            <w:tcW w:w="787" w:type="dxa"/>
            <w:tcBorders>
              <w:top w:val="single" w:color="auto" w:sz="4" w:space="0"/>
              <w:left w:val="single" w:color="auto" w:sz="4" w:space="0"/>
              <w:bottom w:val="single" w:color="auto" w:sz="4" w:space="0"/>
              <w:right w:val="single" w:color="auto" w:sz="4" w:space="0"/>
            </w:tcBorders>
            <w:vAlign w:val="center"/>
          </w:tcPr>
          <w:p w14:paraId="42681069">
            <w:pPr>
              <w:spacing w:line="320" w:lineRule="exact"/>
              <w:ind w:right="79" w:rightChars="25"/>
              <w:jc w:val="center"/>
              <w:rPr>
                <w:sz w:val="24"/>
                <w:szCs w:val="24"/>
              </w:rPr>
            </w:pPr>
            <w:r>
              <w:rPr>
                <w:rFonts w:hint="eastAsia"/>
                <w:sz w:val="24"/>
                <w:szCs w:val="24"/>
              </w:rPr>
              <w:t>%</w:t>
            </w:r>
          </w:p>
        </w:tc>
        <w:tc>
          <w:tcPr>
            <w:tcW w:w="1102" w:type="dxa"/>
            <w:tcBorders>
              <w:top w:val="single" w:color="auto" w:sz="4" w:space="0"/>
              <w:left w:val="single" w:color="auto" w:sz="4" w:space="0"/>
              <w:bottom w:val="single" w:color="auto" w:sz="4" w:space="0"/>
              <w:right w:val="single" w:color="auto" w:sz="4" w:space="0"/>
            </w:tcBorders>
            <w:vAlign w:val="center"/>
          </w:tcPr>
          <w:p w14:paraId="0910BD4D">
            <w:pPr>
              <w:spacing w:line="320" w:lineRule="exact"/>
              <w:ind w:right="79" w:rightChars="25"/>
              <w:jc w:val="center"/>
              <w:rPr>
                <w:sz w:val="24"/>
                <w:szCs w:val="24"/>
              </w:rPr>
            </w:pPr>
            <w:r>
              <w:rPr>
                <w:rFonts w:hint="eastAsia"/>
                <w:sz w:val="24"/>
                <w:szCs w:val="24"/>
              </w:rPr>
              <w:t>94.4</w:t>
            </w:r>
          </w:p>
        </w:tc>
        <w:tc>
          <w:tcPr>
            <w:tcW w:w="1703" w:type="dxa"/>
            <w:tcBorders>
              <w:top w:val="single" w:color="auto" w:sz="4" w:space="0"/>
              <w:left w:val="single" w:color="auto" w:sz="4" w:space="0"/>
              <w:bottom w:val="single" w:color="auto" w:sz="4" w:space="0"/>
              <w:right w:val="single" w:color="auto" w:sz="4" w:space="0"/>
            </w:tcBorders>
            <w:vAlign w:val="center"/>
          </w:tcPr>
          <w:p w14:paraId="161426FC">
            <w:pPr>
              <w:spacing w:line="320" w:lineRule="exact"/>
              <w:ind w:right="79" w:rightChars="25"/>
              <w:jc w:val="center"/>
              <w:rPr>
                <w:sz w:val="24"/>
                <w:szCs w:val="24"/>
              </w:rPr>
            </w:pPr>
            <w:r>
              <w:rPr>
                <w:rFonts w:hint="eastAsia"/>
                <w:sz w:val="24"/>
                <w:szCs w:val="24"/>
              </w:rPr>
              <w:t>95</w:t>
            </w:r>
          </w:p>
        </w:tc>
        <w:tc>
          <w:tcPr>
            <w:tcW w:w="1589" w:type="dxa"/>
            <w:tcBorders>
              <w:top w:val="single" w:color="auto" w:sz="4" w:space="0"/>
              <w:left w:val="single" w:color="auto" w:sz="4" w:space="0"/>
              <w:bottom w:val="single" w:color="auto" w:sz="4" w:space="0"/>
              <w:right w:val="single" w:color="auto" w:sz="4" w:space="0"/>
            </w:tcBorders>
            <w:vAlign w:val="center"/>
          </w:tcPr>
          <w:p w14:paraId="0593683D">
            <w:pPr>
              <w:spacing w:line="320" w:lineRule="exact"/>
              <w:ind w:right="79" w:rightChars="25"/>
              <w:jc w:val="center"/>
              <w:rPr>
                <w:sz w:val="24"/>
                <w:szCs w:val="24"/>
              </w:rPr>
            </w:pPr>
            <w:r>
              <w:rPr>
                <w:rFonts w:hint="eastAsia"/>
                <w:sz w:val="24"/>
                <w:szCs w:val="24"/>
              </w:rPr>
              <w:t>97.72</w:t>
            </w:r>
          </w:p>
        </w:tc>
        <w:tc>
          <w:tcPr>
            <w:tcW w:w="1648" w:type="dxa"/>
            <w:tcBorders>
              <w:top w:val="single" w:color="auto" w:sz="4" w:space="0"/>
              <w:left w:val="single" w:color="auto" w:sz="4" w:space="0"/>
              <w:bottom w:val="single" w:color="auto" w:sz="4" w:space="0"/>
              <w:right w:val="single" w:color="auto" w:sz="4" w:space="0"/>
            </w:tcBorders>
            <w:vAlign w:val="center"/>
          </w:tcPr>
          <w:p w14:paraId="650161D5">
            <w:pPr>
              <w:spacing w:line="320" w:lineRule="exact"/>
              <w:ind w:right="79" w:rightChars="25"/>
              <w:jc w:val="center"/>
              <w:rPr>
                <w:sz w:val="24"/>
                <w:szCs w:val="24"/>
              </w:rPr>
            </w:pPr>
            <w:r>
              <w:rPr>
                <w:rFonts w:hint="eastAsia"/>
                <w:sz w:val="24"/>
                <w:szCs w:val="24"/>
              </w:rPr>
              <w:t>—</w:t>
            </w:r>
          </w:p>
        </w:tc>
      </w:tr>
      <w:tr w14:paraId="7C79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70A575F8">
            <w:pPr>
              <w:spacing w:line="320" w:lineRule="exact"/>
              <w:ind w:right="-41" w:rightChars="-13"/>
              <w:jc w:val="left"/>
              <w:rPr>
                <w:sz w:val="24"/>
                <w:szCs w:val="24"/>
              </w:rPr>
            </w:pPr>
            <w:r>
              <w:rPr>
                <w:rFonts w:hint="eastAsia"/>
                <w:sz w:val="24"/>
                <w:szCs w:val="24"/>
              </w:rPr>
              <w:t>15</w:t>
            </w:r>
            <w:r>
              <w:rPr>
                <w:rFonts w:hint="eastAsia"/>
                <w:sz w:val="24"/>
                <w:szCs w:val="24"/>
                <w:lang w:val="en-US" w:eastAsia="zh-CN"/>
              </w:rPr>
              <w:t>.</w:t>
            </w:r>
            <w:r>
              <w:rPr>
                <w:rFonts w:hint="eastAsia"/>
                <w:sz w:val="24"/>
                <w:szCs w:val="24"/>
              </w:rPr>
              <w:t>劳动人事争议仲裁结案率</w:t>
            </w:r>
          </w:p>
        </w:tc>
        <w:tc>
          <w:tcPr>
            <w:tcW w:w="787" w:type="dxa"/>
            <w:tcBorders>
              <w:top w:val="single" w:color="auto" w:sz="4" w:space="0"/>
              <w:left w:val="single" w:color="auto" w:sz="4" w:space="0"/>
              <w:bottom w:val="single" w:color="auto" w:sz="4" w:space="0"/>
              <w:right w:val="single" w:color="auto" w:sz="4" w:space="0"/>
            </w:tcBorders>
            <w:vAlign w:val="center"/>
          </w:tcPr>
          <w:p w14:paraId="3FE30459">
            <w:pPr>
              <w:spacing w:line="320" w:lineRule="exact"/>
              <w:ind w:right="79" w:rightChars="25"/>
              <w:jc w:val="center"/>
              <w:rPr>
                <w:sz w:val="24"/>
                <w:szCs w:val="24"/>
              </w:rPr>
            </w:pPr>
            <w:r>
              <w:rPr>
                <w:rFonts w:hint="eastAsia"/>
                <w:sz w:val="24"/>
                <w:szCs w:val="24"/>
              </w:rPr>
              <w:t>%</w:t>
            </w:r>
          </w:p>
        </w:tc>
        <w:tc>
          <w:tcPr>
            <w:tcW w:w="1102" w:type="dxa"/>
            <w:tcBorders>
              <w:top w:val="single" w:color="auto" w:sz="4" w:space="0"/>
              <w:left w:val="single" w:color="auto" w:sz="4" w:space="0"/>
              <w:bottom w:val="single" w:color="auto" w:sz="4" w:space="0"/>
              <w:right w:val="single" w:color="auto" w:sz="4" w:space="0"/>
            </w:tcBorders>
            <w:vAlign w:val="center"/>
          </w:tcPr>
          <w:p w14:paraId="6A220904">
            <w:pPr>
              <w:spacing w:line="320" w:lineRule="exact"/>
              <w:ind w:right="79" w:rightChars="25"/>
              <w:jc w:val="center"/>
              <w:rPr>
                <w:sz w:val="24"/>
                <w:szCs w:val="24"/>
              </w:rPr>
            </w:pPr>
            <w:r>
              <w:rPr>
                <w:rFonts w:hint="eastAsia"/>
                <w:sz w:val="24"/>
                <w:szCs w:val="24"/>
              </w:rPr>
              <w:t>98</w:t>
            </w:r>
          </w:p>
        </w:tc>
        <w:tc>
          <w:tcPr>
            <w:tcW w:w="1703" w:type="dxa"/>
            <w:tcBorders>
              <w:top w:val="single" w:color="auto" w:sz="4" w:space="0"/>
              <w:left w:val="single" w:color="auto" w:sz="4" w:space="0"/>
              <w:bottom w:val="single" w:color="auto" w:sz="4" w:space="0"/>
              <w:right w:val="single" w:color="auto" w:sz="4" w:space="0"/>
            </w:tcBorders>
            <w:vAlign w:val="center"/>
          </w:tcPr>
          <w:p w14:paraId="62FCB76C">
            <w:pPr>
              <w:spacing w:line="320" w:lineRule="exact"/>
              <w:ind w:right="79" w:rightChars="25"/>
              <w:jc w:val="center"/>
              <w:rPr>
                <w:sz w:val="24"/>
                <w:szCs w:val="24"/>
              </w:rPr>
            </w:pPr>
            <w:r>
              <w:rPr>
                <w:sz w:val="24"/>
                <w:szCs w:val="24"/>
              </w:rPr>
              <w:t>95</w:t>
            </w:r>
          </w:p>
        </w:tc>
        <w:tc>
          <w:tcPr>
            <w:tcW w:w="1589" w:type="dxa"/>
            <w:tcBorders>
              <w:top w:val="single" w:color="auto" w:sz="4" w:space="0"/>
              <w:left w:val="single" w:color="auto" w:sz="4" w:space="0"/>
              <w:bottom w:val="single" w:color="auto" w:sz="4" w:space="0"/>
              <w:right w:val="single" w:color="auto" w:sz="4" w:space="0"/>
            </w:tcBorders>
            <w:vAlign w:val="center"/>
          </w:tcPr>
          <w:p w14:paraId="51F45DEC">
            <w:pPr>
              <w:spacing w:line="320" w:lineRule="exact"/>
              <w:ind w:right="79" w:rightChars="25"/>
              <w:jc w:val="center"/>
              <w:rPr>
                <w:sz w:val="24"/>
                <w:szCs w:val="24"/>
              </w:rPr>
            </w:pPr>
            <w:r>
              <w:rPr>
                <w:sz w:val="24"/>
                <w:szCs w:val="24"/>
              </w:rPr>
              <w:t>92.04</w:t>
            </w:r>
          </w:p>
        </w:tc>
        <w:tc>
          <w:tcPr>
            <w:tcW w:w="1648" w:type="dxa"/>
            <w:tcBorders>
              <w:top w:val="single" w:color="auto" w:sz="4" w:space="0"/>
              <w:left w:val="single" w:color="auto" w:sz="4" w:space="0"/>
              <w:bottom w:val="single" w:color="auto" w:sz="4" w:space="0"/>
              <w:right w:val="single" w:color="auto" w:sz="4" w:space="0"/>
            </w:tcBorders>
            <w:vAlign w:val="center"/>
          </w:tcPr>
          <w:p w14:paraId="6D615B32">
            <w:pPr>
              <w:spacing w:line="320" w:lineRule="exact"/>
              <w:ind w:right="79" w:rightChars="25"/>
              <w:jc w:val="center"/>
              <w:rPr>
                <w:sz w:val="24"/>
                <w:szCs w:val="24"/>
              </w:rPr>
            </w:pPr>
            <w:r>
              <w:rPr>
                <w:rFonts w:hint="eastAsia"/>
                <w:sz w:val="24"/>
                <w:szCs w:val="24"/>
              </w:rPr>
              <w:t>—</w:t>
            </w:r>
          </w:p>
        </w:tc>
      </w:tr>
    </w:tbl>
    <w:p w14:paraId="63D6A8D3">
      <w:pPr>
        <w:spacing w:line="400" w:lineRule="exact"/>
        <w:rPr>
          <w:sz w:val="24"/>
          <w:szCs w:val="24"/>
        </w:rPr>
      </w:pPr>
      <w:r>
        <w:rPr>
          <w:rFonts w:hint="eastAsia"/>
          <w:sz w:val="24"/>
          <w:szCs w:val="24"/>
        </w:rPr>
        <w:t>注：（1）“[  ]”为五年累计数；（2）“—”表示无基础数据或无此项目标。</w:t>
      </w:r>
    </w:p>
    <w:p w14:paraId="01FCB8C4">
      <w:pPr>
        <w:pStyle w:val="3"/>
        <w:spacing w:line="460" w:lineRule="exact"/>
        <w:jc w:val="both"/>
        <w:rPr>
          <w:rFonts w:hint="eastAsia" w:ascii="黑体" w:hAnsi="黑体" w:eastAsia="黑体"/>
          <w:b w:val="0"/>
          <w:bCs w:val="0"/>
          <w:szCs w:val="30"/>
        </w:rPr>
      </w:pPr>
    </w:p>
    <w:p w14:paraId="5E901C4C">
      <w:pPr>
        <w:pStyle w:val="3"/>
        <w:spacing w:line="460" w:lineRule="exact"/>
        <w:rPr>
          <w:rFonts w:ascii="黑体" w:hAnsi="黑体" w:eastAsia="黑体"/>
          <w:b w:val="0"/>
          <w:bCs w:val="0"/>
          <w:sz w:val="32"/>
          <w:szCs w:val="32"/>
        </w:rPr>
      </w:pPr>
      <w:r>
        <w:rPr>
          <w:rFonts w:hint="eastAsia" w:ascii="黑体" w:hAnsi="黑体" w:eastAsia="黑体"/>
          <w:b w:val="0"/>
          <w:bCs w:val="0"/>
          <w:sz w:val="32"/>
          <w:szCs w:val="32"/>
        </w:rPr>
        <w:t>第二节 面临形势</w:t>
      </w:r>
    </w:p>
    <w:p w14:paraId="4F6535DA">
      <w:pPr>
        <w:spacing w:line="460" w:lineRule="exact"/>
        <w:ind w:firstLine="646"/>
        <w:rPr>
          <w:rFonts w:ascii="仿宋" w:hAnsi="仿宋" w:eastAsia="仿宋"/>
          <w:sz w:val="30"/>
          <w:szCs w:val="30"/>
        </w:rPr>
      </w:pPr>
    </w:p>
    <w:p w14:paraId="6966E76D">
      <w:pPr>
        <w:spacing w:line="600" w:lineRule="exact"/>
        <w:ind w:firstLine="636" w:firstLineChars="200"/>
        <w:rPr>
          <w:rFonts w:hAnsi="仿宋"/>
          <w:szCs w:val="32"/>
        </w:rPr>
      </w:pPr>
      <w:r>
        <w:rPr>
          <w:rFonts w:hint="eastAsia" w:hAnsi="仿宋"/>
          <w:szCs w:val="32"/>
        </w:rPr>
        <w:t>“十四五”时期是中华民族伟大复兴中国梦第二个百年奋斗目标起步的五年，是“世界百年未有之大变局”加速呈现的五年，也是新冠肺炎疫情叠加经济下行，社会运行和民生短板亟待补齐，国家治理能力和治理水平现代化亟待提升的五年。在全球经济形势复杂多变，世界经济、政治格局面临重大变革，国内外各种政治、经济和社会矛盾交织的大背景下，“十四五”时期我市人力资源和社会保障事业将面临新矛盾、新问题，新机遇、新挑战、新任务等一系列新情况。</w:t>
      </w:r>
    </w:p>
    <w:p w14:paraId="2CA051D9">
      <w:pPr>
        <w:spacing w:line="600" w:lineRule="exact"/>
        <w:ind w:firstLine="636" w:firstLineChars="200"/>
        <w:rPr>
          <w:rFonts w:hAnsi="仿宋"/>
          <w:szCs w:val="32"/>
        </w:rPr>
      </w:pPr>
      <w:r>
        <w:rPr>
          <w:rFonts w:hint="eastAsia" w:hAnsi="仿宋"/>
          <w:szCs w:val="32"/>
        </w:rPr>
        <w:t>“十四五”时期，市委、市政府将在民生保障和社会治理两端发力，实施更加积极的就业政策，把稳就业、保就业作为重中之重；全方位推动高质量发展超越，增加居民收入；全面建设覆盖全民的多层次社会保障体系，巩固脱贫成果；打造共建共治共享的社会治理格局，努力提高社会治理社会化、法治化、智能化和专业化水平，为人社事业发展创造了良好环境。未来五年，我市经济发展整体处在增速换档期、结构转换期，总体趋势为经济总量稳步增长，新旧动能接续转换，增长后劲不断增强；人均收入有望迈进中高收入门槛，消费呈现多维度升级，为人社事业发展奠定了扎实的基础。近年来，生态文明示范区、21世纪海上丝绸之路核心区、自由贸易试验区、自主创新示范区、福州新区、海洋经济发展示范区等国家重大发展战略的实施，多区叠加优势不断释放，进一步提升了福州的战略地位，也为推进全市人力资源和社会保障区域协调发展拓展了更大的空间。“十四五”时期以5G为核心引擎的信息技术、人工智能、大数据、云计算、物联网都将处在革命性应用的爆发期，加速人社领域新科技革命成果的创造性应用，将整体带动数字人社、智慧人社的全面实施，极大支撑人力资源和社会保障事业高质量发展。</w:t>
      </w:r>
    </w:p>
    <w:p w14:paraId="5E91EDB6">
      <w:pPr>
        <w:pStyle w:val="2"/>
        <w:spacing w:after="0" w:line="600" w:lineRule="exact"/>
        <w:ind w:firstLine="602"/>
        <w:rPr>
          <w:rFonts w:hAnsi="仿宋"/>
          <w:szCs w:val="32"/>
        </w:rPr>
      </w:pPr>
      <w:r>
        <w:rPr>
          <w:rFonts w:hint="eastAsia" w:hAnsi="仿宋"/>
          <w:szCs w:val="32"/>
        </w:rPr>
        <w:t>在看到机遇的同时，我们也要清醒的认识到“十四五”时期我市人力资源和社会保障事业发展也面临着一些不平衡、不协调的深层次矛盾和挑战。</w:t>
      </w:r>
      <w:r>
        <w:rPr>
          <w:rFonts w:hint="eastAsia" w:hAnsi="仿宋"/>
          <w:b/>
          <w:bCs/>
          <w:szCs w:val="32"/>
        </w:rPr>
        <w:t>一是就业结构性矛盾依然存在。</w:t>
      </w:r>
      <w:r>
        <w:rPr>
          <w:rFonts w:hint="eastAsia" w:hAnsi="仿宋"/>
          <w:szCs w:val="32"/>
        </w:rPr>
        <w:t>经济下行压力叠加疫情防控常态化影响，经济增长拉动就业能力减弱的同时企业面临招工难、用工难问题，就业形势更趋复杂、就业结构性矛盾更加凸显，全市就业形势稳中承压、稳中有难、稳中存忧。</w:t>
      </w:r>
      <w:r>
        <w:rPr>
          <w:rFonts w:hint="eastAsia" w:hAnsi="仿宋"/>
          <w:b/>
          <w:bCs/>
          <w:szCs w:val="32"/>
        </w:rPr>
        <w:t>二是人才数量、质量与产业发展不匹配。</w:t>
      </w:r>
      <w:r>
        <w:rPr>
          <w:rFonts w:hint="eastAsia" w:hAnsi="仿宋"/>
          <w:szCs w:val="32"/>
        </w:rPr>
        <w:t>我市高层次、高技能、基础性人才总量和结构还不适应经济社会发展需要，人才竞争力、人才资源、人才效能、人才环境与先进城市相比还有较大差距，乡村振兴中人才振兴任务艰巨，必须加快体制机制改革和政策创新，强化人才队伍建设与新产业、新业态需求的精准匹配。</w:t>
      </w:r>
      <w:r>
        <w:rPr>
          <w:rFonts w:hint="eastAsia" w:hAnsi="仿宋"/>
          <w:b/>
          <w:bCs/>
          <w:szCs w:val="32"/>
        </w:rPr>
        <w:t>三是社会保障体系不够完善。</w:t>
      </w:r>
      <w:r>
        <w:rPr>
          <w:rFonts w:hint="eastAsia" w:hAnsi="仿宋"/>
          <w:szCs w:val="32"/>
        </w:rPr>
        <w:t>受国内外经济形势变化影响，加上一些企业参保意识不强，部分从业人员和城乡居民参保积极性不高，社会保险扩面难度越来越大。我市总体社会保障水平与经济社会发展水平还不相适应，基本养老保险待遇水平和缴费水平偏低，被征地农民社会保障落实压力大。目前针对新业态的社会保障政策尚处于真空地带，“租赁员工”“共享用工”等新型就业形态和模式，对传统基于劳动关系的社会保险参保和缴费政策带来新的挑战和压力。</w:t>
      </w:r>
      <w:r>
        <w:rPr>
          <w:rFonts w:hint="eastAsia" w:hAnsi="仿宋"/>
          <w:b/>
          <w:bCs/>
          <w:szCs w:val="32"/>
        </w:rPr>
        <w:t>四是工资水平和劳动关系有待进一步优化。</w:t>
      </w:r>
      <w:r>
        <w:rPr>
          <w:rFonts w:hint="eastAsia" w:hAnsi="仿宋"/>
          <w:szCs w:val="32"/>
        </w:rPr>
        <w:t>我市居民可支配收入在全国重点城市中处于中下水平，企业退休人员养老金低于全省平均线，城乡区域发展和收入分配差距较大；一些用人单位侵害劳动者权益的问题还时有发生，劳动者平等意识、权利意识和公平要求不断增强，维护劳动关系和谐稳定任务仍十分繁重。</w:t>
      </w:r>
      <w:r>
        <w:rPr>
          <w:rFonts w:hint="eastAsia" w:hAnsi="仿宋"/>
          <w:b/>
          <w:bCs/>
          <w:szCs w:val="32"/>
        </w:rPr>
        <w:t>五是人社公共服务能力还待进一步提升。</w:t>
      </w:r>
      <w:r>
        <w:rPr>
          <w:rFonts w:hint="eastAsia" w:hAnsi="仿宋"/>
          <w:szCs w:val="32"/>
        </w:rPr>
        <w:t>智慧人社建设存在短板，网络化、信息化程度不够，基层服务窗口管理不够规范，编外人员流动性大，服务质量有待提升。</w:t>
      </w:r>
    </w:p>
    <w:p w14:paraId="6AA27DC2">
      <w:pPr>
        <w:spacing w:line="600" w:lineRule="exact"/>
        <w:ind w:firstLine="636" w:firstLineChars="200"/>
        <w:rPr>
          <w:rFonts w:hAnsi="仿宋"/>
          <w:szCs w:val="32"/>
        </w:rPr>
      </w:pPr>
      <w:r>
        <w:rPr>
          <w:rFonts w:hint="eastAsia" w:hAnsi="仿宋"/>
          <w:szCs w:val="32"/>
        </w:rPr>
        <w:t>随着新时代社会主要矛盾变化带来的新特征、新要求，各类市场主体对人力资源和社会保障公共服务需求日益增长。同时，供给侧结构性改革也对增加公共服务供给、优化各项服务提出了新的要求。面对新机遇、新形势和新要求，我市要在巩固前期人力资源和社会保障事业发展成果的基础上，坚持以习近平新时代中国特色社会主义思想为指导，深刻认识我国社会主要矛盾变化带来的新特征新要求，深刻认识错综复杂的国际环境带来的新矛盾新挑战，坚持以人民为中心，实事求是、遵循规律、着眼长远、统筹兼顾，审时度势，把握好战略机遇；同时要坚持底线思维，保持战略定力，准确识变、科学应变、主动求变，积极应对挑战，在创新、协同、绿色、开放、共享中把握新机遇，实现新发展。</w:t>
      </w:r>
    </w:p>
    <w:p w14:paraId="0547E9D3">
      <w:pPr>
        <w:spacing w:line="460" w:lineRule="exact"/>
        <w:ind w:firstLine="596" w:firstLineChars="200"/>
        <w:rPr>
          <w:rFonts w:hAnsi="仿宋"/>
          <w:sz w:val="30"/>
          <w:szCs w:val="30"/>
        </w:rPr>
      </w:pPr>
    </w:p>
    <w:p w14:paraId="1DB11D46">
      <w:pPr>
        <w:keepNext/>
        <w:keepLines/>
        <w:spacing w:line="520" w:lineRule="exact"/>
        <w:jc w:val="center"/>
        <w:outlineLvl w:val="0"/>
        <w:rPr>
          <w:rFonts w:ascii="黑体" w:hAnsi="黑体" w:eastAsia="黑体"/>
          <w:kern w:val="44"/>
          <w:szCs w:val="32"/>
        </w:rPr>
      </w:pPr>
      <w:r>
        <w:rPr>
          <w:rFonts w:hint="eastAsia" w:ascii="黑体" w:hAnsi="黑体" w:eastAsia="黑体"/>
          <w:kern w:val="44"/>
          <w:szCs w:val="32"/>
        </w:rPr>
        <w:t>第二章 指导思想、基本原则和发展目标</w:t>
      </w:r>
    </w:p>
    <w:p w14:paraId="320CDFF7">
      <w:pPr>
        <w:spacing w:line="460" w:lineRule="exact"/>
        <w:jc w:val="center"/>
        <w:rPr>
          <w:sz w:val="24"/>
          <w:szCs w:val="24"/>
        </w:rPr>
      </w:pPr>
    </w:p>
    <w:p w14:paraId="61E40E94">
      <w:pPr>
        <w:pStyle w:val="3"/>
        <w:spacing w:line="460" w:lineRule="exact"/>
        <w:rPr>
          <w:rFonts w:ascii="黑体" w:hAnsi="黑体" w:eastAsia="黑体"/>
          <w:b w:val="0"/>
          <w:bCs w:val="0"/>
          <w:sz w:val="32"/>
          <w:szCs w:val="32"/>
        </w:rPr>
      </w:pPr>
      <w:r>
        <w:rPr>
          <w:rFonts w:hint="eastAsia" w:ascii="黑体" w:hAnsi="黑体" w:eastAsia="黑体"/>
          <w:b w:val="0"/>
          <w:bCs w:val="0"/>
          <w:sz w:val="32"/>
          <w:szCs w:val="32"/>
        </w:rPr>
        <w:t>第一节 指导思想</w:t>
      </w:r>
    </w:p>
    <w:p w14:paraId="1D032343">
      <w:pPr>
        <w:spacing w:line="600" w:lineRule="exact"/>
        <w:rPr>
          <w:rFonts w:ascii="仿宋" w:hAnsi="仿宋" w:eastAsia="仿宋"/>
          <w:b/>
          <w:sz w:val="30"/>
          <w:szCs w:val="30"/>
        </w:rPr>
      </w:pPr>
    </w:p>
    <w:p w14:paraId="00E0E7C1">
      <w:pPr>
        <w:spacing w:line="600" w:lineRule="exact"/>
        <w:ind w:firstLine="636" w:firstLineChars="200"/>
        <w:rPr>
          <w:rFonts w:hAnsi="仿宋"/>
          <w:szCs w:val="32"/>
        </w:rPr>
      </w:pPr>
      <w:r>
        <w:rPr>
          <w:rFonts w:hint="eastAsia" w:hAnsi="仿宋"/>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深入学习贯彻习近平总书记对福建工作重要讲话重要指示批示精神，落实省委十届十次、十一次和市委十一届十次、十一次全会</w:t>
      </w:r>
      <w:r>
        <w:rPr>
          <w:rFonts w:hint="eastAsia" w:hAnsi="仿宋"/>
          <w:szCs w:val="32"/>
          <w:lang w:eastAsia="zh-CN"/>
        </w:rPr>
        <w:t>、市第十二次党代会</w:t>
      </w:r>
      <w:r>
        <w:rPr>
          <w:rFonts w:hint="eastAsia" w:hAnsi="仿宋"/>
          <w:szCs w:val="32"/>
        </w:rPr>
        <w:t>精神</w:t>
      </w:r>
      <w:r>
        <w:rPr>
          <w:rFonts w:hint="eastAsia" w:hAnsi="仿宋"/>
          <w:szCs w:val="32"/>
          <w:lang w:eastAsia="zh-CN"/>
        </w:rPr>
        <w:t>。</w:t>
      </w:r>
      <w:r>
        <w:rPr>
          <w:rFonts w:hint="eastAsia" w:hAnsi="仿宋"/>
          <w:szCs w:val="32"/>
        </w:rPr>
        <w:t>围绕全方位推</w:t>
      </w:r>
      <w:r>
        <w:rPr>
          <w:rFonts w:hint="eastAsia" w:hAnsi="仿宋"/>
          <w:szCs w:val="32"/>
          <w:lang w:eastAsia="zh-CN"/>
        </w:rPr>
        <w:t>进</w:t>
      </w:r>
      <w:r>
        <w:rPr>
          <w:rFonts w:hint="eastAsia" w:hAnsi="仿宋"/>
          <w:szCs w:val="32"/>
        </w:rPr>
        <w:t>高质量发展超越，坚持稳中求进</w:t>
      </w:r>
      <w:r>
        <w:rPr>
          <w:rFonts w:hint="eastAsia" w:hAnsi="仿宋"/>
          <w:szCs w:val="32"/>
          <w:lang w:eastAsia="zh-CN"/>
        </w:rPr>
        <w:t>工作总基调</w:t>
      </w:r>
      <w:r>
        <w:rPr>
          <w:rFonts w:hint="eastAsia" w:hAnsi="仿宋"/>
          <w:szCs w:val="32"/>
        </w:rPr>
        <w:t>，坚持新发展理念，坚持</w:t>
      </w:r>
      <w:r>
        <w:rPr>
          <w:rFonts w:hint="eastAsia" w:hAnsi="仿宋"/>
          <w:szCs w:val="32"/>
          <w:lang w:eastAsia="zh-CN"/>
        </w:rPr>
        <w:t>以党的政治建设为统领</w:t>
      </w:r>
      <w:r>
        <w:rPr>
          <w:rFonts w:hint="eastAsia" w:hAnsi="仿宋"/>
          <w:szCs w:val="32"/>
        </w:rPr>
        <w:t>，紧扣我国社会主要矛盾变化，统筹推进“五位一体”总体布局和协调推进“四个全面”战略布局，以深化供给侧结构性改革为主线，以改革创新为根本动力，以满足人民日益增长的美好生活需要为根本目的，深入实施就业优先战略和人才优先发展战略，全力促进就业创业，深化社会保障改革，完善工资收入分配制度和人事管理创新，构建和谐劳动关系，提升基本公共服务能力和水平，着力促改革、惠民生、防风险、保稳定，</w:t>
      </w:r>
      <w:r>
        <w:rPr>
          <w:rFonts w:hint="eastAsia" w:hAnsi="仿宋"/>
          <w:szCs w:val="32"/>
          <w:lang w:eastAsia="zh-CN"/>
        </w:rPr>
        <w:t>在人社领域</w:t>
      </w:r>
      <w:r>
        <w:rPr>
          <w:rFonts w:hint="eastAsia" w:hAnsi="仿宋"/>
          <w:color w:val="auto"/>
          <w:szCs w:val="32"/>
          <w:u w:val="none"/>
          <w:lang w:eastAsia="zh-CN"/>
        </w:rPr>
        <w:t>持续深入细致</w:t>
      </w:r>
      <w:r>
        <w:rPr>
          <w:rFonts w:hint="eastAsia" w:hAnsi="仿宋"/>
          <w:szCs w:val="32"/>
          <w:lang w:eastAsia="zh-CN"/>
        </w:rPr>
        <w:t>做好“六稳”工作、落实“六保”任务</w:t>
      </w:r>
      <w:r>
        <w:rPr>
          <w:rFonts w:hint="eastAsia" w:hAnsi="仿宋"/>
          <w:szCs w:val="32"/>
        </w:rPr>
        <w:t>，不断增进民生福祉，为建设机制活、产业优、百姓</w:t>
      </w:r>
      <w:bookmarkStart w:id="1" w:name="_GoBack"/>
      <w:bookmarkEnd w:id="1"/>
      <w:r>
        <w:rPr>
          <w:rFonts w:hint="eastAsia" w:hAnsi="仿宋"/>
          <w:szCs w:val="32"/>
        </w:rPr>
        <w:t>富、生态美的新时代有福之州、幸福之城贡献人社力量。</w:t>
      </w:r>
    </w:p>
    <w:p w14:paraId="7FBBD778">
      <w:pPr>
        <w:pStyle w:val="2"/>
        <w:spacing w:after="0" w:line="460" w:lineRule="exact"/>
      </w:pPr>
    </w:p>
    <w:p w14:paraId="25B89109">
      <w:pPr>
        <w:pStyle w:val="3"/>
        <w:spacing w:line="460" w:lineRule="exact"/>
        <w:rPr>
          <w:rFonts w:ascii="黑体" w:hAnsi="黑体" w:eastAsia="黑体"/>
          <w:b w:val="0"/>
          <w:bCs w:val="0"/>
          <w:sz w:val="32"/>
          <w:szCs w:val="32"/>
        </w:rPr>
      </w:pPr>
      <w:r>
        <w:rPr>
          <w:rFonts w:hint="eastAsia" w:ascii="黑体" w:hAnsi="黑体" w:eastAsia="黑体"/>
          <w:b w:val="0"/>
          <w:bCs w:val="0"/>
          <w:sz w:val="32"/>
          <w:szCs w:val="32"/>
        </w:rPr>
        <w:t>第二节 基本原则</w:t>
      </w:r>
    </w:p>
    <w:p w14:paraId="07EB6977">
      <w:pPr>
        <w:spacing w:line="460" w:lineRule="exact"/>
        <w:jc w:val="center"/>
        <w:rPr>
          <w:rFonts w:ascii="仿宋" w:hAnsi="仿宋" w:eastAsia="仿宋"/>
          <w:b/>
          <w:sz w:val="30"/>
          <w:szCs w:val="30"/>
        </w:rPr>
      </w:pPr>
    </w:p>
    <w:p w14:paraId="130175FE">
      <w:pPr>
        <w:spacing w:line="600" w:lineRule="exact"/>
        <w:ind w:firstLine="636" w:firstLineChars="200"/>
        <w:rPr>
          <w:rFonts w:hint="eastAsia" w:hAnsi="仿宋_GB2312" w:cs="仿宋_GB2312"/>
          <w:szCs w:val="32"/>
        </w:rPr>
      </w:pPr>
      <w:r>
        <w:rPr>
          <w:rFonts w:hint="eastAsia" w:hAnsi="仿宋_GB2312" w:cs="仿宋_GB2312"/>
          <w:b/>
          <w:szCs w:val="32"/>
        </w:rPr>
        <w:t>——政府主导，社会共治。</w:t>
      </w:r>
      <w:r>
        <w:rPr>
          <w:rFonts w:hint="eastAsia" w:hAnsi="仿宋_GB2312" w:cs="仿宋_GB2312"/>
          <w:szCs w:val="32"/>
        </w:rPr>
        <w:t>充分发挥政府统筹规划、制度设计、标准规范制定和组织协调作用，着力完善人力资源和社会保障的整体框架；完善多元参与机制，充分发挥企业和民间组织等的积极性和能动性，使之成为推动人力资源和社会保障事业发展的重要力量，形成新时代多元主体参与的共建共治共享的社会治理格局。</w:t>
      </w:r>
    </w:p>
    <w:p w14:paraId="333BBF4E">
      <w:pPr>
        <w:spacing w:line="600" w:lineRule="exact"/>
        <w:ind w:firstLine="636" w:firstLineChars="200"/>
        <w:rPr>
          <w:rFonts w:hint="eastAsia" w:hAnsi="仿宋_GB2312" w:cs="仿宋_GB2312"/>
          <w:szCs w:val="32"/>
        </w:rPr>
      </w:pPr>
      <w:r>
        <w:rPr>
          <w:rFonts w:hint="eastAsia" w:hAnsi="仿宋_GB2312" w:cs="仿宋_GB2312"/>
          <w:b/>
          <w:szCs w:val="32"/>
        </w:rPr>
        <w:t>——统筹协调、突出重点。</w:t>
      </w:r>
      <w:r>
        <w:rPr>
          <w:rFonts w:hint="eastAsia" w:hAnsi="仿宋_GB2312" w:cs="仿宋_GB2312"/>
          <w:szCs w:val="32"/>
        </w:rPr>
        <w:t>统筹兼顾不同群体利益关系，充分考虑地区发展差异，在政策措施制定和实施过程中，统筹把握好法规与政策的衔接配套、管理与服务的共同推进，增强各部门工作的系统性、整体性和协同性。坚持目标导向和问题导向，加强系统谋划，按照补短板、强弱项的要求，突出抓好民生保障的重点领域、重点人群、重点环节，着力补齐短板、化解矛盾。</w:t>
      </w:r>
    </w:p>
    <w:p w14:paraId="02E081E2">
      <w:pPr>
        <w:spacing w:line="600" w:lineRule="exact"/>
        <w:ind w:firstLine="636" w:firstLineChars="200"/>
        <w:rPr>
          <w:rFonts w:hint="eastAsia" w:hAnsi="仿宋_GB2312" w:cs="仿宋_GB2312"/>
          <w:szCs w:val="32"/>
        </w:rPr>
      </w:pPr>
      <w:r>
        <w:rPr>
          <w:rFonts w:hint="eastAsia" w:hAnsi="仿宋_GB2312" w:cs="仿宋_GB2312"/>
          <w:b/>
          <w:szCs w:val="32"/>
        </w:rPr>
        <w:t>——民生为本、发展共享。</w:t>
      </w:r>
      <w:r>
        <w:rPr>
          <w:rFonts w:hint="eastAsia" w:hAnsi="仿宋_GB2312" w:cs="仿宋_GB2312"/>
          <w:szCs w:val="32"/>
        </w:rPr>
        <w:t>围绕保障和改善民生、增进人民福祉，努力践行以人民为中心的发展思想，始终把提高全体市民的幸福感和获得感作为工作的出发点和落脚点。按照公平、均等、兜底的工作思路，实施更加积极的就业政策、健全多层次社会保障体系、完善工资收入决定和增长机制，使得广大群众共享便利、高效、优质的人力资源社会保障服务。</w:t>
      </w:r>
    </w:p>
    <w:p w14:paraId="548A86C6">
      <w:pPr>
        <w:spacing w:line="600" w:lineRule="exact"/>
        <w:ind w:firstLine="636" w:firstLineChars="200"/>
        <w:rPr>
          <w:rFonts w:hint="eastAsia" w:hAnsi="仿宋_GB2312" w:cs="仿宋_GB2312"/>
          <w:szCs w:val="32"/>
        </w:rPr>
      </w:pPr>
      <w:r>
        <w:rPr>
          <w:rFonts w:hint="eastAsia" w:hAnsi="仿宋_GB2312" w:cs="仿宋_GB2312"/>
          <w:b/>
          <w:szCs w:val="32"/>
        </w:rPr>
        <w:t>——深化改革、创新驱动。</w:t>
      </w:r>
      <w:r>
        <w:rPr>
          <w:rFonts w:hint="eastAsia" w:hAnsi="仿宋_GB2312" w:cs="仿宋_GB2312"/>
          <w:szCs w:val="32"/>
        </w:rPr>
        <w:t>紧紧围绕全方位推动高质量发展超越大局，深刻把握国内大循环为主体、国内国际双循环相互促进的新发展格局，把新发展理念贯穿到全市人社事业发展的全过程，发挥改革的突破性和先导性作用，破除制约高质量发展、高品质生活的体制机制障碍。正确处理好改革、发展、稳定的关系，注重制度完善、机制创新和管理能力提升。研究适应新产业、新业态发展的服务和监管机制，更好地培育创新发展动力。</w:t>
      </w:r>
    </w:p>
    <w:p w14:paraId="5B136F09">
      <w:pPr>
        <w:spacing w:line="600" w:lineRule="exact"/>
        <w:ind w:firstLine="636" w:firstLineChars="200"/>
        <w:rPr>
          <w:rFonts w:hAnsi="仿宋"/>
          <w:szCs w:val="32"/>
        </w:rPr>
      </w:pPr>
      <w:r>
        <w:rPr>
          <w:rFonts w:hint="eastAsia" w:hAnsi="仿宋_GB2312" w:cs="仿宋_GB2312"/>
          <w:b/>
          <w:szCs w:val="32"/>
        </w:rPr>
        <w:t>——践行法治、保护权益。</w:t>
      </w:r>
      <w:r>
        <w:rPr>
          <w:rFonts w:hint="eastAsia" w:hAnsi="仿宋_GB2312" w:cs="仿宋_GB2312"/>
          <w:szCs w:val="32"/>
        </w:rPr>
        <w:t>全面推进人力资源和社会保障法治建设，树立“办事依法、遇事找法、解决问题用法、化解矛盾靠法”的法治思维，坚持依法行政和公正执法，以法治精神护航人社事业转型发展。按照“公开是原则、不公开是例外”的要求，依法公开行政事务的执法依据、执法程序和执法结果，保障服务对象的知情权，努力维护和平衡好各类群体的权益。</w:t>
      </w:r>
    </w:p>
    <w:p w14:paraId="4C426AEF">
      <w:pPr>
        <w:pStyle w:val="2"/>
      </w:pPr>
    </w:p>
    <w:p w14:paraId="7A075FEE">
      <w:pPr>
        <w:pStyle w:val="3"/>
        <w:spacing w:line="460" w:lineRule="exact"/>
        <w:rPr>
          <w:rFonts w:ascii="黑体" w:hAnsi="黑体" w:eastAsia="黑体"/>
          <w:b w:val="0"/>
          <w:bCs w:val="0"/>
          <w:sz w:val="32"/>
          <w:szCs w:val="32"/>
        </w:rPr>
      </w:pPr>
      <w:r>
        <w:rPr>
          <w:rFonts w:hint="eastAsia" w:ascii="黑体" w:hAnsi="黑体" w:eastAsia="黑体"/>
          <w:b w:val="0"/>
          <w:bCs w:val="0"/>
          <w:sz w:val="32"/>
          <w:szCs w:val="32"/>
        </w:rPr>
        <w:t>第三节</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发展目标</w:t>
      </w:r>
    </w:p>
    <w:p w14:paraId="718BB4A7">
      <w:pPr>
        <w:spacing w:line="460" w:lineRule="exact"/>
        <w:jc w:val="center"/>
        <w:rPr>
          <w:rFonts w:ascii="仿宋" w:hAnsi="仿宋" w:eastAsia="仿宋"/>
          <w:b/>
          <w:sz w:val="30"/>
          <w:szCs w:val="30"/>
        </w:rPr>
      </w:pPr>
    </w:p>
    <w:p w14:paraId="45F9242B">
      <w:pPr>
        <w:spacing w:line="600" w:lineRule="exact"/>
        <w:ind w:firstLine="636" w:firstLineChars="200"/>
        <w:rPr>
          <w:rFonts w:hint="eastAsia" w:hAnsi="仿宋_GB2312" w:cs="仿宋_GB2312"/>
          <w:szCs w:val="32"/>
        </w:rPr>
      </w:pPr>
      <w:r>
        <w:rPr>
          <w:rFonts w:hint="eastAsia" w:hAnsi="仿宋_GB2312" w:cs="仿宋_GB2312"/>
          <w:szCs w:val="32"/>
        </w:rPr>
        <w:t>至2025年，我市人力资源和社会保障制度体系将更加完善，公共服务水平全面跃升，社会就业更加充分、更高质量、更加公平，中等收入群体比例明显提高，社会保障需要基本满足，现代劳动关系治理格局基本形成，人力资源充分开发利用，跻身人力资源强市前列。</w:t>
      </w:r>
    </w:p>
    <w:p w14:paraId="5A617F61">
      <w:pPr>
        <w:spacing w:line="600" w:lineRule="exact"/>
        <w:ind w:firstLine="636" w:firstLineChars="200"/>
        <w:rPr>
          <w:rFonts w:hint="eastAsia" w:hAnsi="仿宋_GB2312" w:cs="仿宋_GB2312"/>
          <w:szCs w:val="32"/>
        </w:rPr>
      </w:pPr>
      <w:r>
        <w:rPr>
          <w:rFonts w:hint="eastAsia" w:hAnsi="仿宋_GB2312" w:cs="仿宋_GB2312"/>
          <w:b/>
          <w:bCs/>
          <w:szCs w:val="32"/>
        </w:rPr>
        <w:t>——努力实现更加充分更高质量的就业。</w:t>
      </w:r>
      <w:r>
        <w:rPr>
          <w:rFonts w:hint="eastAsia" w:hAnsi="仿宋_GB2312" w:cs="仿宋_GB2312"/>
          <w:szCs w:val="32"/>
        </w:rPr>
        <w:t>社会就业更加充分，就业结构更趋合理，就业环境更加公平，创业效应更加明显，城乡均等的公共就业创业服务体系更加健全。促进就业力度进一步加大，就业困难群体得到有效帮扶。“十四五”时期，城镇新增就业60万人以上，城镇登记失业率保持在5%以内。高校毕业生年末总体就业率保持在92%以上；培育扶持自主创业者3万人以上，创业带动就业20万人以上；组织开展各类职业技能培训25万人次以上。</w:t>
      </w:r>
    </w:p>
    <w:p w14:paraId="64F2AC06">
      <w:pPr>
        <w:pStyle w:val="2"/>
        <w:spacing w:after="0" w:line="600" w:lineRule="exact"/>
        <w:ind w:firstLine="602"/>
        <w:rPr>
          <w:rFonts w:hint="eastAsia" w:hAnsi="仿宋_GB2312" w:cs="仿宋_GB2312"/>
          <w:szCs w:val="32"/>
        </w:rPr>
      </w:pPr>
      <w:r>
        <w:rPr>
          <w:rFonts w:hint="eastAsia" w:hAnsi="仿宋_GB2312" w:cs="仿宋_GB2312"/>
          <w:b/>
          <w:bCs/>
          <w:szCs w:val="32"/>
        </w:rPr>
        <w:t>——完善覆盖全民的更可持续的社会保障制度。</w:t>
      </w:r>
      <w:r>
        <w:rPr>
          <w:rFonts w:hint="eastAsia" w:hAnsi="仿宋_GB2312" w:cs="仿宋_GB2312"/>
          <w:szCs w:val="32"/>
        </w:rPr>
        <w:t>全面实施全民参保计划，完善城镇职工基本养老保险和城乡居民基本养老保险制度，完善失业、工伤保险制度。社会保障待遇水平稳步提高，实现基金的安全可持续运行。“十四五”期末，基本养老保险参保率达96%，参加失业保险人数达到150万人，参加工伤保险人数达到203.5万人。</w:t>
      </w:r>
    </w:p>
    <w:p w14:paraId="165D0C5B">
      <w:pPr>
        <w:spacing w:line="600" w:lineRule="exact"/>
        <w:ind w:firstLine="636" w:firstLineChars="200"/>
        <w:rPr>
          <w:rFonts w:hint="eastAsia" w:hAnsi="仿宋_GB2312" w:cs="仿宋_GB2312"/>
          <w:szCs w:val="32"/>
        </w:rPr>
      </w:pPr>
      <w:r>
        <w:rPr>
          <w:rFonts w:hint="eastAsia" w:hAnsi="仿宋_GB2312" w:cs="仿宋_GB2312"/>
          <w:b/>
          <w:bCs/>
          <w:szCs w:val="32"/>
        </w:rPr>
        <w:t>——各类人才队伍持续发展壮大</w:t>
      </w:r>
      <w:r>
        <w:rPr>
          <w:rFonts w:hint="eastAsia" w:hAnsi="仿宋_GB2312" w:cs="仿宋_GB2312"/>
          <w:szCs w:val="32"/>
        </w:rPr>
        <w:t>。坚持人才优先发展，提高人才质量，推进乡村人才振兴，优化人才机构，以高层次、高技能人才为重点的各类人才队伍规模持续扩大，形成与高质量超越发展需求相适应的人才工作格局。争取在“十四五”期末，市级及以上人才总量2万人；全市技能人才总量达130万人次，其中高技能人才26.6万人次；全市专业技术人才总量达79万人。</w:t>
      </w:r>
    </w:p>
    <w:p w14:paraId="163C85FB">
      <w:pPr>
        <w:spacing w:line="600" w:lineRule="exact"/>
        <w:ind w:firstLine="636" w:firstLineChars="200"/>
        <w:rPr>
          <w:rFonts w:hint="eastAsia" w:hAnsi="仿宋_GB2312" w:cs="仿宋_GB2312"/>
          <w:szCs w:val="32"/>
        </w:rPr>
      </w:pPr>
      <w:r>
        <w:rPr>
          <w:rFonts w:hint="eastAsia" w:hAnsi="仿宋_GB2312" w:cs="仿宋_GB2312"/>
          <w:b/>
          <w:bCs/>
          <w:szCs w:val="32"/>
        </w:rPr>
        <w:t>——人事制度改革不断深化。</w:t>
      </w:r>
      <w:r>
        <w:rPr>
          <w:rFonts w:hint="eastAsia" w:hAnsi="仿宋_GB2312" w:cs="仿宋_GB2312"/>
          <w:szCs w:val="32"/>
        </w:rPr>
        <w:t>深化事业单位人事制度改革、职称制度改革，完善公开招聘制度，努力形成符合事业单位特点、规范有序、充满活力的人事管理制度。健全完善表彰管理制度体系，在全社会营造尊崇模范、争做先锋的良好氛围。</w:t>
      </w:r>
    </w:p>
    <w:p w14:paraId="3FCC43E4">
      <w:pPr>
        <w:spacing w:line="600" w:lineRule="exact"/>
        <w:ind w:firstLine="636" w:firstLineChars="200"/>
        <w:rPr>
          <w:rFonts w:hint="eastAsia" w:hAnsi="仿宋_GB2312" w:cs="仿宋_GB2312"/>
          <w:szCs w:val="32"/>
        </w:rPr>
      </w:pPr>
      <w:r>
        <w:rPr>
          <w:rFonts w:hint="eastAsia" w:hAnsi="仿宋_GB2312" w:cs="仿宋_GB2312"/>
          <w:szCs w:val="32"/>
        </w:rPr>
        <w:t>——</w:t>
      </w:r>
      <w:r>
        <w:rPr>
          <w:rFonts w:hint="eastAsia" w:hAnsi="仿宋_GB2312" w:cs="仿宋_GB2312"/>
          <w:b/>
          <w:bCs/>
          <w:szCs w:val="32"/>
        </w:rPr>
        <w:t>推动形成更加合理有序的工资收入分配格局。</w:t>
      </w:r>
      <w:r>
        <w:rPr>
          <w:rFonts w:hint="eastAsia" w:hAnsi="仿宋_GB2312" w:cs="仿宋_GB2312"/>
          <w:szCs w:val="32"/>
        </w:rPr>
        <w:t>工资收入分配制度更加优化，居民收入增长与经济增长基本同步。工资集体协商制度更加完善，企业职工工资水平合理增长。事业单位收入分配制度改革不断深化，建立符合事业单位特点的工资分配制度。</w:t>
      </w:r>
    </w:p>
    <w:p w14:paraId="45BFCAD4">
      <w:pPr>
        <w:spacing w:line="600" w:lineRule="exact"/>
        <w:ind w:firstLine="636" w:firstLineChars="200"/>
        <w:rPr>
          <w:rFonts w:hint="eastAsia" w:hAnsi="仿宋_GB2312" w:cs="仿宋_GB2312"/>
          <w:b/>
          <w:bCs/>
          <w:szCs w:val="32"/>
        </w:rPr>
      </w:pPr>
      <w:r>
        <w:rPr>
          <w:rFonts w:hint="eastAsia" w:hAnsi="仿宋_GB2312" w:cs="仿宋_GB2312"/>
          <w:szCs w:val="32"/>
        </w:rPr>
        <w:t>——</w:t>
      </w:r>
      <w:r>
        <w:rPr>
          <w:rFonts w:hint="eastAsia" w:hAnsi="仿宋_GB2312" w:cs="仿宋_GB2312"/>
          <w:b/>
          <w:bCs/>
          <w:szCs w:val="32"/>
        </w:rPr>
        <w:t>构建更加和谐稳定的劳动关系。</w:t>
      </w:r>
      <w:r>
        <w:rPr>
          <w:rFonts w:hint="eastAsia" w:hAnsi="仿宋_GB2312" w:cs="仿宋_GB2312"/>
          <w:szCs w:val="32"/>
        </w:rPr>
        <w:t>全面提升劳动关系治理水平，深入实施劳动合同制度，加强协调劳动关系三方机制建设，完善劳动争议调解仲裁制度，劳动人事争议调解成功率、仲裁结案率不低于60%、93%，健全劳动保障监察执法体制机制，劳动保障监察举报投诉案件结案率不低于96%，努力构建规范有序、公正合理、合作共赢、和谐稳定的劳动关系。</w:t>
      </w:r>
    </w:p>
    <w:p w14:paraId="0B59F9DA">
      <w:pPr>
        <w:spacing w:line="600" w:lineRule="exact"/>
        <w:ind w:firstLine="636" w:firstLineChars="200"/>
        <w:rPr>
          <w:rFonts w:hint="eastAsia" w:hAnsi="仿宋_GB2312" w:cs="仿宋_GB2312"/>
          <w:szCs w:val="32"/>
        </w:rPr>
      </w:pPr>
      <w:r>
        <w:rPr>
          <w:rFonts w:hint="eastAsia" w:hAnsi="仿宋_GB2312" w:cs="仿宋_GB2312"/>
          <w:szCs w:val="32"/>
        </w:rPr>
        <w:t>——</w:t>
      </w:r>
      <w:r>
        <w:rPr>
          <w:rFonts w:hint="eastAsia" w:hAnsi="仿宋_GB2312" w:cs="仿宋_GB2312"/>
          <w:b/>
          <w:bCs/>
          <w:szCs w:val="32"/>
        </w:rPr>
        <w:t>人社系统能力建设全面加强。</w:t>
      </w:r>
      <w:r>
        <w:rPr>
          <w:rFonts w:hint="eastAsia" w:hAnsi="仿宋_GB2312" w:cs="仿宋_GB2312"/>
          <w:szCs w:val="32"/>
        </w:rPr>
        <w:t>人力资源社会保障公共服务制度和标准体系全面建立，智慧服务能力显著提高，社会保障卡实现发行应用全覆盖，公共服务能力和群众满意度明显提升，公共服务均等化基本实现，人民群众能够享受到更加规范、便捷、高效的公共服务。</w:t>
      </w:r>
    </w:p>
    <w:p w14:paraId="2EA7F809">
      <w:pPr>
        <w:pStyle w:val="11"/>
      </w:pPr>
    </w:p>
    <w:tbl>
      <w:tblPr>
        <w:tblStyle w:val="16"/>
        <w:tblW w:w="9239"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0"/>
        <w:gridCol w:w="1341"/>
        <w:gridCol w:w="1404"/>
        <w:gridCol w:w="1644"/>
      </w:tblGrid>
      <w:tr w14:paraId="7BB3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9239" w:type="dxa"/>
            <w:gridSpan w:val="4"/>
            <w:shd w:val="clear" w:color="auto" w:fill="auto"/>
          </w:tcPr>
          <w:p w14:paraId="049F7412">
            <w:pPr>
              <w:spacing w:line="380" w:lineRule="exact"/>
              <w:jc w:val="center"/>
              <w:rPr>
                <w:rFonts w:cs="仿宋_GB2312"/>
                <w:szCs w:val="32"/>
              </w:rPr>
            </w:pPr>
            <w:r>
              <w:rPr>
                <w:rFonts w:hint="eastAsia" w:ascii="仿宋" w:hAnsi="仿宋" w:eastAsia="仿宋"/>
                <w:b/>
                <w:sz w:val="30"/>
                <w:szCs w:val="30"/>
              </w:rPr>
              <w:t>专栏2：“十四五”时期人力资源社会保障主要指标</w:t>
            </w:r>
          </w:p>
        </w:tc>
      </w:tr>
      <w:tr w14:paraId="6753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0" w:type="dxa"/>
            <w:shd w:val="clear" w:color="auto" w:fill="auto"/>
            <w:vAlign w:val="center"/>
          </w:tcPr>
          <w:p w14:paraId="46287EB8">
            <w:pPr>
              <w:spacing w:line="380" w:lineRule="exact"/>
              <w:jc w:val="center"/>
              <w:rPr>
                <w:rFonts w:cs="仿宋_GB2312"/>
                <w:b/>
                <w:bCs/>
                <w:sz w:val="24"/>
              </w:rPr>
            </w:pPr>
            <w:r>
              <w:rPr>
                <w:rFonts w:hint="eastAsia" w:cs="仿宋_GB2312"/>
                <w:b/>
                <w:bCs/>
                <w:sz w:val="24"/>
              </w:rPr>
              <w:t>指标</w:t>
            </w:r>
          </w:p>
        </w:tc>
        <w:tc>
          <w:tcPr>
            <w:tcW w:w="1341" w:type="dxa"/>
            <w:shd w:val="clear" w:color="auto" w:fill="auto"/>
          </w:tcPr>
          <w:p w14:paraId="6C3B6541">
            <w:pPr>
              <w:spacing w:line="380" w:lineRule="exact"/>
              <w:jc w:val="center"/>
              <w:rPr>
                <w:rFonts w:cs="仿宋_GB2312"/>
                <w:b/>
                <w:bCs/>
                <w:sz w:val="24"/>
              </w:rPr>
            </w:pPr>
            <w:r>
              <w:rPr>
                <w:rFonts w:cs="仿宋_GB2312"/>
                <w:b/>
                <w:bCs/>
                <w:sz w:val="24"/>
              </w:rPr>
              <w:t>2020年</w:t>
            </w:r>
          </w:p>
        </w:tc>
        <w:tc>
          <w:tcPr>
            <w:tcW w:w="1404" w:type="dxa"/>
            <w:shd w:val="clear" w:color="auto" w:fill="auto"/>
          </w:tcPr>
          <w:p w14:paraId="26F6D5C7">
            <w:pPr>
              <w:spacing w:line="380" w:lineRule="exact"/>
              <w:jc w:val="center"/>
              <w:rPr>
                <w:rFonts w:cs="仿宋_GB2312"/>
                <w:b/>
                <w:bCs/>
                <w:sz w:val="24"/>
              </w:rPr>
            </w:pPr>
            <w:r>
              <w:rPr>
                <w:rFonts w:cs="仿宋_GB2312"/>
                <w:b/>
                <w:bCs/>
                <w:sz w:val="24"/>
              </w:rPr>
              <w:t>2025年</w:t>
            </w:r>
          </w:p>
        </w:tc>
        <w:tc>
          <w:tcPr>
            <w:tcW w:w="1644" w:type="dxa"/>
            <w:shd w:val="clear" w:color="auto" w:fill="auto"/>
          </w:tcPr>
          <w:p w14:paraId="6E63067D">
            <w:pPr>
              <w:spacing w:line="380" w:lineRule="exact"/>
              <w:jc w:val="center"/>
              <w:rPr>
                <w:rFonts w:cs="仿宋_GB2312"/>
                <w:b/>
                <w:bCs/>
                <w:sz w:val="24"/>
              </w:rPr>
            </w:pPr>
            <w:r>
              <w:rPr>
                <w:rFonts w:hint="eastAsia" w:cs="仿宋_GB2312"/>
                <w:b/>
                <w:bCs/>
                <w:sz w:val="24"/>
              </w:rPr>
              <w:t>属性</w:t>
            </w:r>
          </w:p>
        </w:tc>
      </w:tr>
      <w:tr w14:paraId="6F74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39" w:type="dxa"/>
            <w:gridSpan w:val="4"/>
            <w:shd w:val="clear" w:color="auto" w:fill="auto"/>
            <w:vAlign w:val="center"/>
          </w:tcPr>
          <w:p w14:paraId="7FB75CCF">
            <w:pPr>
              <w:pStyle w:val="15"/>
              <w:overflowPunct w:val="0"/>
              <w:spacing w:before="0" w:beforeAutospacing="0" w:after="0" w:afterAutospacing="0" w:line="380" w:lineRule="exact"/>
              <w:rPr>
                <w:rFonts w:ascii="Times New Roman" w:hAnsi="Times New Roman" w:eastAsia="仿宋_GB2312"/>
              </w:rPr>
            </w:pPr>
            <w:r>
              <w:rPr>
                <w:rFonts w:ascii="Times New Roman" w:hAnsi="Times New Roman" w:eastAsia="仿宋_GB2312"/>
                <w:b/>
                <w:bCs/>
              </w:rPr>
              <w:t>一、就业</w:t>
            </w:r>
          </w:p>
        </w:tc>
      </w:tr>
      <w:tr w14:paraId="44F9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03A44B93">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1.城镇新增就业人数（万人）</w:t>
            </w:r>
          </w:p>
        </w:tc>
        <w:tc>
          <w:tcPr>
            <w:tcW w:w="1341" w:type="dxa"/>
            <w:shd w:val="clear" w:color="auto" w:fill="auto"/>
            <w:vAlign w:val="center"/>
          </w:tcPr>
          <w:p w14:paraId="6EC1A87B">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14</w:t>
            </w:r>
          </w:p>
        </w:tc>
        <w:tc>
          <w:tcPr>
            <w:tcW w:w="1404" w:type="dxa"/>
            <w:shd w:val="clear" w:color="auto" w:fill="auto"/>
            <w:vAlign w:val="center"/>
          </w:tcPr>
          <w:p w14:paraId="5732883D">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[60]</w:t>
            </w:r>
          </w:p>
        </w:tc>
        <w:tc>
          <w:tcPr>
            <w:tcW w:w="1644" w:type="dxa"/>
            <w:shd w:val="clear" w:color="auto" w:fill="auto"/>
            <w:vAlign w:val="center"/>
          </w:tcPr>
          <w:p w14:paraId="4E9295DD">
            <w:pPr>
              <w:spacing w:line="380" w:lineRule="exact"/>
              <w:jc w:val="center"/>
              <w:rPr>
                <w:rFonts w:cs="仿宋_GB2312"/>
                <w:sz w:val="24"/>
              </w:rPr>
            </w:pPr>
            <w:r>
              <w:rPr>
                <w:rFonts w:hint="eastAsia" w:cs="仿宋_GB2312"/>
                <w:sz w:val="24"/>
              </w:rPr>
              <w:t>预期性</w:t>
            </w:r>
          </w:p>
        </w:tc>
      </w:tr>
      <w:tr w14:paraId="2F13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294A0703">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2.城镇登记失业率（％）</w:t>
            </w:r>
          </w:p>
        </w:tc>
        <w:tc>
          <w:tcPr>
            <w:tcW w:w="1341" w:type="dxa"/>
            <w:shd w:val="clear" w:color="auto" w:fill="auto"/>
            <w:vAlign w:val="center"/>
          </w:tcPr>
          <w:p w14:paraId="79C9355A">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3</w:t>
            </w:r>
          </w:p>
        </w:tc>
        <w:tc>
          <w:tcPr>
            <w:tcW w:w="1404" w:type="dxa"/>
            <w:shd w:val="clear" w:color="auto" w:fill="auto"/>
            <w:vAlign w:val="center"/>
          </w:tcPr>
          <w:p w14:paraId="22D2406B">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&lt;5</w:t>
            </w:r>
          </w:p>
        </w:tc>
        <w:tc>
          <w:tcPr>
            <w:tcW w:w="1644" w:type="dxa"/>
            <w:shd w:val="clear" w:color="auto" w:fill="auto"/>
            <w:vAlign w:val="center"/>
          </w:tcPr>
          <w:p w14:paraId="4486EC58">
            <w:pPr>
              <w:spacing w:line="380" w:lineRule="exact"/>
              <w:jc w:val="center"/>
              <w:rPr>
                <w:rFonts w:cs="仿宋_GB2312"/>
                <w:sz w:val="24"/>
                <w:szCs w:val="22"/>
              </w:rPr>
            </w:pPr>
            <w:r>
              <w:rPr>
                <w:rFonts w:hint="eastAsia" w:cs="仿宋_GB2312"/>
                <w:sz w:val="24"/>
                <w:szCs w:val="22"/>
              </w:rPr>
              <w:t>约束性</w:t>
            </w:r>
          </w:p>
        </w:tc>
      </w:tr>
      <w:tr w14:paraId="0D68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28A0A839">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sz w:val="21"/>
                <w:szCs w:val="21"/>
              </w:rPr>
              <w:t>3.</w:t>
            </w:r>
            <w:r>
              <w:rPr>
                <w:rFonts w:hint="eastAsia" w:ascii="仿宋_GB2312" w:hAnsi="仿宋_GB2312" w:eastAsia="仿宋_GB2312" w:cs="仿宋_GB2312"/>
              </w:rPr>
              <w:t>开展补贴性职业技能培训人次（万人次）</w:t>
            </w:r>
          </w:p>
        </w:tc>
        <w:tc>
          <w:tcPr>
            <w:tcW w:w="1341" w:type="dxa"/>
            <w:shd w:val="clear" w:color="auto" w:fill="auto"/>
            <w:vAlign w:val="center"/>
          </w:tcPr>
          <w:p w14:paraId="2529FFFB">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6.7</w:t>
            </w:r>
          </w:p>
        </w:tc>
        <w:tc>
          <w:tcPr>
            <w:tcW w:w="1404" w:type="dxa"/>
            <w:shd w:val="clear" w:color="auto" w:fill="auto"/>
            <w:vAlign w:val="center"/>
          </w:tcPr>
          <w:p w14:paraId="00C2736E">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[25]</w:t>
            </w:r>
          </w:p>
        </w:tc>
        <w:tc>
          <w:tcPr>
            <w:tcW w:w="1644" w:type="dxa"/>
            <w:shd w:val="clear" w:color="auto" w:fill="auto"/>
            <w:vAlign w:val="center"/>
          </w:tcPr>
          <w:p w14:paraId="474298B0">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3010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5A7B1B40">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4.其中：农民工参加职业培训人次（万人次）</w:t>
            </w:r>
          </w:p>
        </w:tc>
        <w:tc>
          <w:tcPr>
            <w:tcW w:w="1341" w:type="dxa"/>
            <w:shd w:val="clear" w:color="auto" w:fill="auto"/>
            <w:vAlign w:val="center"/>
          </w:tcPr>
          <w:p w14:paraId="4D471DD2">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2.8</w:t>
            </w:r>
          </w:p>
        </w:tc>
        <w:tc>
          <w:tcPr>
            <w:tcW w:w="1404" w:type="dxa"/>
            <w:shd w:val="clear" w:color="auto" w:fill="auto"/>
            <w:vAlign w:val="center"/>
          </w:tcPr>
          <w:p w14:paraId="42C60841">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[14]</w:t>
            </w:r>
          </w:p>
        </w:tc>
        <w:tc>
          <w:tcPr>
            <w:tcW w:w="1644" w:type="dxa"/>
            <w:shd w:val="clear" w:color="auto" w:fill="auto"/>
            <w:vAlign w:val="center"/>
          </w:tcPr>
          <w:p w14:paraId="0E94C281">
            <w:pPr>
              <w:spacing w:line="380" w:lineRule="exact"/>
              <w:jc w:val="center"/>
              <w:rPr>
                <w:rFonts w:cs="仿宋_GB2312"/>
                <w:sz w:val="24"/>
              </w:rPr>
            </w:pPr>
            <w:r>
              <w:rPr>
                <w:rFonts w:hint="eastAsia" w:cs="仿宋_GB2312"/>
                <w:sz w:val="24"/>
              </w:rPr>
              <w:t>预期性</w:t>
            </w:r>
          </w:p>
        </w:tc>
      </w:tr>
      <w:tr w14:paraId="554E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39" w:type="dxa"/>
            <w:gridSpan w:val="4"/>
            <w:shd w:val="clear" w:color="auto" w:fill="auto"/>
            <w:vAlign w:val="center"/>
          </w:tcPr>
          <w:p w14:paraId="36F6AFDC">
            <w:pPr>
              <w:pStyle w:val="15"/>
              <w:overflowPunct w:val="0"/>
              <w:spacing w:before="0" w:beforeAutospacing="0" w:after="0" w:afterAutospacing="0" w:line="380" w:lineRule="exact"/>
              <w:rPr>
                <w:rFonts w:ascii="Times New Roman" w:hAnsi="Times New Roman" w:eastAsia="仿宋_GB2312"/>
                <w:b/>
                <w:bCs/>
              </w:rPr>
            </w:pPr>
            <w:r>
              <w:rPr>
                <w:rFonts w:ascii="Times New Roman" w:hAnsi="Times New Roman" w:eastAsia="仿宋_GB2312"/>
                <w:b/>
                <w:bCs/>
              </w:rPr>
              <w:t>二、社会保障</w:t>
            </w:r>
          </w:p>
        </w:tc>
      </w:tr>
      <w:tr w14:paraId="2B2B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6DCBB93C">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5.基本养老保险参保率（％）</w:t>
            </w:r>
          </w:p>
        </w:tc>
        <w:tc>
          <w:tcPr>
            <w:tcW w:w="1341" w:type="dxa"/>
            <w:shd w:val="clear" w:color="auto" w:fill="auto"/>
            <w:vAlign w:val="center"/>
          </w:tcPr>
          <w:p w14:paraId="76B90E4A">
            <w:pPr>
              <w:pStyle w:val="15"/>
              <w:overflowPunct w:val="0"/>
              <w:spacing w:before="0" w:beforeAutospacing="0" w:after="0" w:afterAutospacing="0" w:line="380" w:lineRule="exact"/>
              <w:jc w:val="center"/>
              <w:rPr>
                <w:rFonts w:ascii="Times New Roman" w:hAnsi="Times New Roman" w:eastAsia="仿宋_GB2312"/>
              </w:rPr>
            </w:pPr>
            <w:r>
              <w:rPr>
                <w:rFonts w:ascii="Times New Roman" w:hAnsi="Times New Roman" w:eastAsia="仿宋_GB2312"/>
              </w:rPr>
              <w:t>95.6</w:t>
            </w:r>
          </w:p>
        </w:tc>
        <w:tc>
          <w:tcPr>
            <w:tcW w:w="1404" w:type="dxa"/>
            <w:shd w:val="clear" w:color="auto" w:fill="auto"/>
            <w:vAlign w:val="center"/>
          </w:tcPr>
          <w:p w14:paraId="05DBB8A7">
            <w:pPr>
              <w:pStyle w:val="15"/>
              <w:overflowPunct w:val="0"/>
              <w:spacing w:before="0" w:beforeAutospacing="0" w:after="0" w:afterAutospacing="0" w:line="380" w:lineRule="exact"/>
              <w:jc w:val="center"/>
              <w:rPr>
                <w:rFonts w:ascii="Times New Roman" w:hAnsi="Times New Roman" w:eastAsia="仿宋_GB2312"/>
              </w:rPr>
            </w:pPr>
            <w:r>
              <w:rPr>
                <w:rFonts w:ascii="Times New Roman" w:hAnsi="Times New Roman" w:eastAsia="仿宋_GB2312"/>
              </w:rPr>
              <w:t>96</w:t>
            </w:r>
          </w:p>
        </w:tc>
        <w:tc>
          <w:tcPr>
            <w:tcW w:w="1644" w:type="dxa"/>
            <w:shd w:val="clear" w:color="auto" w:fill="auto"/>
            <w:vAlign w:val="center"/>
          </w:tcPr>
          <w:p w14:paraId="78E25FA8">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16A2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27920A04">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6.失业保险参保人数（万人）</w:t>
            </w:r>
          </w:p>
        </w:tc>
        <w:tc>
          <w:tcPr>
            <w:tcW w:w="1341" w:type="dxa"/>
            <w:shd w:val="clear" w:color="auto" w:fill="auto"/>
            <w:vAlign w:val="center"/>
          </w:tcPr>
          <w:p w14:paraId="3121F324">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141</w:t>
            </w:r>
          </w:p>
        </w:tc>
        <w:tc>
          <w:tcPr>
            <w:tcW w:w="1404" w:type="dxa"/>
            <w:shd w:val="clear" w:color="auto" w:fill="auto"/>
            <w:vAlign w:val="center"/>
          </w:tcPr>
          <w:p w14:paraId="363F7853">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150</w:t>
            </w:r>
          </w:p>
        </w:tc>
        <w:tc>
          <w:tcPr>
            <w:tcW w:w="1644" w:type="dxa"/>
            <w:shd w:val="clear" w:color="auto" w:fill="auto"/>
            <w:vAlign w:val="center"/>
          </w:tcPr>
          <w:p w14:paraId="0285B4C2">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约束性</w:t>
            </w:r>
          </w:p>
        </w:tc>
      </w:tr>
      <w:tr w14:paraId="0EDC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32FEBD08">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7.工伤保险参保人数（万人）</w:t>
            </w:r>
          </w:p>
        </w:tc>
        <w:tc>
          <w:tcPr>
            <w:tcW w:w="1341" w:type="dxa"/>
            <w:shd w:val="clear" w:color="auto" w:fill="auto"/>
            <w:vAlign w:val="center"/>
          </w:tcPr>
          <w:p w14:paraId="0A79F8C5">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181.4</w:t>
            </w:r>
          </w:p>
        </w:tc>
        <w:tc>
          <w:tcPr>
            <w:tcW w:w="1404" w:type="dxa"/>
            <w:shd w:val="clear" w:color="auto" w:fill="auto"/>
            <w:vAlign w:val="center"/>
          </w:tcPr>
          <w:p w14:paraId="7F2F1119">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203.5</w:t>
            </w:r>
          </w:p>
        </w:tc>
        <w:tc>
          <w:tcPr>
            <w:tcW w:w="1644" w:type="dxa"/>
            <w:shd w:val="clear" w:color="auto" w:fill="auto"/>
            <w:vAlign w:val="center"/>
          </w:tcPr>
          <w:p w14:paraId="6B1331A1">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约束性</w:t>
            </w:r>
          </w:p>
        </w:tc>
      </w:tr>
      <w:tr w14:paraId="48FC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062423FF">
            <w:pPr>
              <w:spacing w:line="380" w:lineRule="exact"/>
              <w:rPr>
                <w:rFonts w:cs="仿宋_GB2312"/>
                <w:sz w:val="24"/>
              </w:rPr>
            </w:pPr>
            <w:r>
              <w:rPr>
                <w:rFonts w:hint="eastAsia" w:cs="仿宋_GB2312"/>
                <w:sz w:val="24"/>
              </w:rPr>
              <w:t>8.</w:t>
            </w:r>
            <w:r>
              <w:rPr>
                <w:rFonts w:hint="eastAsia" w:cs="仿宋_GB2312"/>
                <w:sz w:val="24"/>
                <w:szCs w:val="24"/>
              </w:rPr>
              <w:t>城乡居民基本养老保险基金委托投资资金总额（亿元）</w:t>
            </w:r>
          </w:p>
        </w:tc>
        <w:tc>
          <w:tcPr>
            <w:tcW w:w="1341" w:type="dxa"/>
            <w:shd w:val="clear" w:color="auto" w:fill="auto"/>
            <w:vAlign w:val="center"/>
          </w:tcPr>
          <w:p w14:paraId="04DE5CF2">
            <w:pPr>
              <w:pStyle w:val="15"/>
              <w:overflowPunct w:val="0"/>
              <w:spacing w:before="0" w:beforeAutospacing="0" w:after="0" w:afterAutospacing="0" w:line="380" w:lineRule="exact"/>
              <w:jc w:val="center"/>
              <w:rPr>
                <w:rFonts w:ascii="Times New Roman" w:hAnsi="Times New Roman" w:eastAsia="仿宋_GB2312"/>
              </w:rPr>
            </w:pPr>
            <w:r>
              <w:rPr>
                <w:rFonts w:ascii="Times New Roman" w:hAnsi="Times New Roman" w:eastAsia="仿宋_GB2312"/>
              </w:rPr>
              <w:t>6.13</w:t>
            </w:r>
          </w:p>
        </w:tc>
        <w:tc>
          <w:tcPr>
            <w:tcW w:w="1404" w:type="dxa"/>
            <w:shd w:val="clear" w:color="auto" w:fill="auto"/>
            <w:vAlign w:val="center"/>
          </w:tcPr>
          <w:p w14:paraId="6E3BD211">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13.83</w:t>
            </w:r>
          </w:p>
        </w:tc>
        <w:tc>
          <w:tcPr>
            <w:tcW w:w="1644" w:type="dxa"/>
            <w:shd w:val="clear" w:color="auto" w:fill="auto"/>
            <w:vAlign w:val="center"/>
          </w:tcPr>
          <w:p w14:paraId="7EE0CDDC">
            <w:pPr>
              <w:spacing w:line="380" w:lineRule="exact"/>
              <w:jc w:val="center"/>
              <w:rPr>
                <w:rFonts w:cs="仿宋_GB2312"/>
                <w:sz w:val="24"/>
              </w:rPr>
            </w:pPr>
            <w:r>
              <w:rPr>
                <w:rFonts w:hint="eastAsia" w:cs="仿宋_GB2312"/>
                <w:sz w:val="24"/>
              </w:rPr>
              <w:t>预期性</w:t>
            </w:r>
          </w:p>
        </w:tc>
      </w:tr>
      <w:tr w14:paraId="090C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39" w:type="dxa"/>
            <w:gridSpan w:val="4"/>
            <w:shd w:val="clear" w:color="auto" w:fill="auto"/>
            <w:vAlign w:val="center"/>
          </w:tcPr>
          <w:p w14:paraId="7E201AE2">
            <w:pPr>
              <w:pStyle w:val="15"/>
              <w:overflowPunct w:val="0"/>
              <w:spacing w:before="0" w:beforeAutospacing="0" w:after="0" w:afterAutospacing="0" w:line="380" w:lineRule="exact"/>
              <w:rPr>
                <w:rFonts w:ascii="Times New Roman" w:hAnsi="Times New Roman" w:eastAsia="仿宋_GB2312"/>
              </w:rPr>
            </w:pPr>
            <w:r>
              <w:rPr>
                <w:rFonts w:ascii="Times New Roman" w:hAnsi="Times New Roman" w:eastAsia="仿宋_GB2312"/>
                <w:b/>
                <w:bCs/>
              </w:rPr>
              <w:t>三、人才人事</w:t>
            </w:r>
          </w:p>
        </w:tc>
      </w:tr>
      <w:tr w14:paraId="5C2B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63985A43">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9.专业技术人才总量（万人）</w:t>
            </w:r>
          </w:p>
        </w:tc>
        <w:tc>
          <w:tcPr>
            <w:tcW w:w="1341" w:type="dxa"/>
            <w:shd w:val="clear" w:color="auto" w:fill="auto"/>
            <w:vAlign w:val="center"/>
          </w:tcPr>
          <w:p w14:paraId="64962EAF">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65.5</w:t>
            </w:r>
          </w:p>
        </w:tc>
        <w:tc>
          <w:tcPr>
            <w:tcW w:w="1404" w:type="dxa"/>
            <w:shd w:val="clear" w:color="auto" w:fill="auto"/>
            <w:vAlign w:val="center"/>
          </w:tcPr>
          <w:p w14:paraId="00572C31">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79</w:t>
            </w:r>
          </w:p>
        </w:tc>
        <w:tc>
          <w:tcPr>
            <w:tcW w:w="1644" w:type="dxa"/>
            <w:shd w:val="clear" w:color="auto" w:fill="auto"/>
            <w:vAlign w:val="center"/>
          </w:tcPr>
          <w:p w14:paraId="1DE384DB">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7224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1AC213D5">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10.其中：</w:t>
            </w:r>
            <w:r>
              <w:rPr>
                <w:rFonts w:hint="eastAsia" w:ascii="仿宋_GB2312" w:hAnsi="仿宋_GB2312" w:eastAsia="仿宋_GB2312" w:cs="仿宋_GB2312"/>
                <w:kern w:val="2"/>
              </w:rPr>
              <w:t>高级职称人才数量(万人)</w:t>
            </w:r>
          </w:p>
        </w:tc>
        <w:tc>
          <w:tcPr>
            <w:tcW w:w="1341" w:type="dxa"/>
            <w:shd w:val="clear" w:color="auto" w:fill="auto"/>
            <w:vAlign w:val="center"/>
          </w:tcPr>
          <w:p w14:paraId="562A26D9">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4.7</w:t>
            </w:r>
          </w:p>
        </w:tc>
        <w:tc>
          <w:tcPr>
            <w:tcW w:w="1404" w:type="dxa"/>
            <w:shd w:val="clear" w:color="auto" w:fill="auto"/>
            <w:vAlign w:val="center"/>
          </w:tcPr>
          <w:p w14:paraId="10ECED16">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6.5</w:t>
            </w:r>
          </w:p>
        </w:tc>
        <w:tc>
          <w:tcPr>
            <w:tcW w:w="1644" w:type="dxa"/>
            <w:shd w:val="clear" w:color="auto" w:fill="auto"/>
            <w:vAlign w:val="center"/>
          </w:tcPr>
          <w:p w14:paraId="45159722">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00E3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5358F258">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11.新增取得专业技术人员职业资格证书人数（万人）</w:t>
            </w:r>
          </w:p>
        </w:tc>
        <w:tc>
          <w:tcPr>
            <w:tcW w:w="1341" w:type="dxa"/>
            <w:shd w:val="clear" w:color="auto" w:fill="auto"/>
            <w:vAlign w:val="center"/>
          </w:tcPr>
          <w:p w14:paraId="44F3A07C">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1.7</w:t>
            </w:r>
          </w:p>
        </w:tc>
        <w:tc>
          <w:tcPr>
            <w:tcW w:w="1404" w:type="dxa"/>
            <w:shd w:val="clear" w:color="auto" w:fill="auto"/>
            <w:vAlign w:val="center"/>
          </w:tcPr>
          <w:p w14:paraId="7AE9A174">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[10]</w:t>
            </w:r>
          </w:p>
        </w:tc>
        <w:tc>
          <w:tcPr>
            <w:tcW w:w="1644" w:type="dxa"/>
            <w:shd w:val="clear" w:color="auto" w:fill="auto"/>
            <w:vAlign w:val="center"/>
          </w:tcPr>
          <w:p w14:paraId="2D554057">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4D78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5D382933">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12.新增取得职业资格证书或职业技能等级证书人数（万人）</w:t>
            </w:r>
          </w:p>
        </w:tc>
        <w:tc>
          <w:tcPr>
            <w:tcW w:w="1341" w:type="dxa"/>
            <w:shd w:val="clear" w:color="auto" w:fill="auto"/>
            <w:vAlign w:val="center"/>
          </w:tcPr>
          <w:p w14:paraId="775E3143">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2.8</w:t>
            </w:r>
          </w:p>
        </w:tc>
        <w:tc>
          <w:tcPr>
            <w:tcW w:w="1404" w:type="dxa"/>
            <w:shd w:val="clear" w:color="auto" w:fill="auto"/>
            <w:vAlign w:val="center"/>
          </w:tcPr>
          <w:p w14:paraId="0ABDD0D0">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[16]</w:t>
            </w:r>
          </w:p>
        </w:tc>
        <w:tc>
          <w:tcPr>
            <w:tcW w:w="1644" w:type="dxa"/>
            <w:shd w:val="clear" w:color="auto" w:fill="auto"/>
            <w:vAlign w:val="center"/>
          </w:tcPr>
          <w:p w14:paraId="4853812B">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0EDD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5A5F024A">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13.其中：新增取得高级工以上职业资格证书或职业技能等级证书人数（万人）</w:t>
            </w:r>
          </w:p>
        </w:tc>
        <w:tc>
          <w:tcPr>
            <w:tcW w:w="1341" w:type="dxa"/>
            <w:shd w:val="clear" w:color="auto" w:fill="auto"/>
            <w:vAlign w:val="center"/>
          </w:tcPr>
          <w:p w14:paraId="76E61E8A">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0.59</w:t>
            </w:r>
          </w:p>
        </w:tc>
        <w:tc>
          <w:tcPr>
            <w:tcW w:w="1404" w:type="dxa"/>
            <w:shd w:val="clear" w:color="auto" w:fill="auto"/>
            <w:vAlign w:val="center"/>
          </w:tcPr>
          <w:p w14:paraId="73B5E595">
            <w:pPr>
              <w:pStyle w:val="15"/>
              <w:overflowPunct w:val="0"/>
              <w:spacing w:before="0" w:beforeAutospacing="0" w:after="0" w:afterAutospacing="0" w:line="340" w:lineRule="exact"/>
              <w:jc w:val="center"/>
              <w:rPr>
                <w:rFonts w:ascii="Times New Roman" w:hAnsi="Times New Roman" w:eastAsia="仿宋_GB2312"/>
              </w:rPr>
            </w:pPr>
            <w:r>
              <w:rPr>
                <w:rFonts w:hint="eastAsia" w:ascii="Times New Roman" w:hAnsi="Times New Roman" w:eastAsia="仿宋_GB2312"/>
              </w:rPr>
              <w:t>[3.8]</w:t>
            </w:r>
          </w:p>
        </w:tc>
        <w:tc>
          <w:tcPr>
            <w:tcW w:w="1644" w:type="dxa"/>
            <w:shd w:val="clear" w:color="auto" w:fill="auto"/>
            <w:vAlign w:val="center"/>
          </w:tcPr>
          <w:p w14:paraId="0D445E37">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6D57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71E855C4">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14.博士后研究人员年招收数（人）</w:t>
            </w:r>
          </w:p>
        </w:tc>
        <w:tc>
          <w:tcPr>
            <w:tcW w:w="1341" w:type="dxa"/>
            <w:shd w:val="clear" w:color="auto" w:fill="auto"/>
            <w:vAlign w:val="center"/>
          </w:tcPr>
          <w:p w14:paraId="55F846EB">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90</w:t>
            </w:r>
          </w:p>
        </w:tc>
        <w:tc>
          <w:tcPr>
            <w:tcW w:w="1404" w:type="dxa"/>
            <w:shd w:val="clear" w:color="auto" w:fill="auto"/>
            <w:vAlign w:val="center"/>
          </w:tcPr>
          <w:p w14:paraId="57C67A1D">
            <w:pPr>
              <w:pStyle w:val="15"/>
              <w:overflowPunct w:val="0"/>
              <w:spacing w:before="0" w:beforeAutospacing="0" w:after="0" w:afterAutospacing="0" w:line="340" w:lineRule="exact"/>
              <w:jc w:val="center"/>
              <w:rPr>
                <w:rFonts w:ascii="Times New Roman" w:hAnsi="Times New Roman" w:eastAsia="仿宋_GB2312"/>
              </w:rPr>
            </w:pPr>
            <w:r>
              <w:rPr>
                <w:rFonts w:hint="eastAsia" w:ascii="Times New Roman" w:hAnsi="Times New Roman" w:eastAsia="仿宋_GB2312"/>
              </w:rPr>
              <w:t>95</w:t>
            </w:r>
          </w:p>
        </w:tc>
        <w:tc>
          <w:tcPr>
            <w:tcW w:w="1644" w:type="dxa"/>
            <w:shd w:val="clear" w:color="auto" w:fill="auto"/>
            <w:vAlign w:val="center"/>
          </w:tcPr>
          <w:p w14:paraId="3059165D">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455E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39" w:type="dxa"/>
            <w:gridSpan w:val="4"/>
            <w:shd w:val="clear" w:color="auto" w:fill="auto"/>
            <w:vAlign w:val="center"/>
          </w:tcPr>
          <w:p w14:paraId="4984BEEA">
            <w:pPr>
              <w:pStyle w:val="15"/>
              <w:overflowPunct w:val="0"/>
              <w:spacing w:before="0" w:beforeAutospacing="0" w:after="0" w:afterAutospacing="0" w:line="380" w:lineRule="exact"/>
              <w:rPr>
                <w:rFonts w:ascii="Times New Roman" w:hAnsi="Times New Roman" w:eastAsia="仿宋_GB2312"/>
              </w:rPr>
            </w:pPr>
            <w:r>
              <w:rPr>
                <w:rFonts w:ascii="Times New Roman" w:hAnsi="Times New Roman" w:eastAsia="仿宋_GB2312"/>
                <w:b/>
                <w:bCs/>
              </w:rPr>
              <w:t>四、劳动关系</w:t>
            </w:r>
          </w:p>
        </w:tc>
      </w:tr>
      <w:tr w14:paraId="3AF70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4E7832E4">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15.劳动人事争议调解成功率（%）</w:t>
            </w:r>
          </w:p>
        </w:tc>
        <w:tc>
          <w:tcPr>
            <w:tcW w:w="1341" w:type="dxa"/>
            <w:shd w:val="clear" w:color="auto" w:fill="auto"/>
            <w:vAlign w:val="center"/>
          </w:tcPr>
          <w:p w14:paraId="16F29A77">
            <w:pPr>
              <w:pStyle w:val="15"/>
              <w:overflowPunct w:val="0"/>
              <w:spacing w:before="0" w:beforeAutospacing="0" w:after="0" w:afterAutospacing="0" w:line="380" w:lineRule="exact"/>
              <w:jc w:val="center"/>
              <w:rPr>
                <w:rFonts w:ascii="Times New Roman" w:hAnsi="Times New Roman" w:eastAsia="仿宋_GB2312"/>
              </w:rPr>
            </w:pPr>
            <w:r>
              <w:rPr>
                <w:rFonts w:ascii="Times New Roman" w:hAnsi="Times New Roman" w:eastAsia="仿宋_GB2312"/>
              </w:rPr>
              <w:t>62.52</w:t>
            </w:r>
          </w:p>
        </w:tc>
        <w:tc>
          <w:tcPr>
            <w:tcW w:w="1404" w:type="dxa"/>
            <w:shd w:val="clear" w:color="auto" w:fill="auto"/>
            <w:vAlign w:val="center"/>
          </w:tcPr>
          <w:p w14:paraId="1C506793">
            <w:pPr>
              <w:pStyle w:val="15"/>
              <w:overflowPunct w:val="0"/>
              <w:spacing w:before="0" w:beforeAutospacing="0" w:after="0" w:afterAutospacing="0" w:line="380" w:lineRule="exact"/>
              <w:jc w:val="center"/>
              <w:rPr>
                <w:rFonts w:ascii="Times New Roman" w:hAnsi="Times New Roman" w:eastAsia="仿宋_GB2312"/>
              </w:rPr>
            </w:pPr>
            <w:r>
              <w:rPr>
                <w:rFonts w:ascii="Times New Roman" w:hAnsi="Times New Roman" w:eastAsia="仿宋_GB2312"/>
              </w:rPr>
              <w:t>60</w:t>
            </w:r>
          </w:p>
        </w:tc>
        <w:tc>
          <w:tcPr>
            <w:tcW w:w="1644" w:type="dxa"/>
            <w:shd w:val="clear" w:color="auto" w:fill="auto"/>
            <w:vAlign w:val="center"/>
          </w:tcPr>
          <w:p w14:paraId="5F707430">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37A1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6BEC5CF9">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16.劳动人事争议仲裁结案率（%）</w:t>
            </w:r>
          </w:p>
        </w:tc>
        <w:tc>
          <w:tcPr>
            <w:tcW w:w="1341" w:type="dxa"/>
            <w:shd w:val="clear" w:color="auto" w:fill="auto"/>
            <w:vAlign w:val="center"/>
          </w:tcPr>
          <w:p w14:paraId="2BD1B1DE">
            <w:pPr>
              <w:pStyle w:val="15"/>
              <w:overflowPunct w:val="0"/>
              <w:spacing w:before="0" w:beforeAutospacing="0" w:after="0" w:afterAutospacing="0" w:line="380" w:lineRule="exact"/>
              <w:jc w:val="center"/>
              <w:rPr>
                <w:rFonts w:ascii="Times New Roman" w:hAnsi="Times New Roman" w:eastAsia="仿宋_GB2312"/>
              </w:rPr>
            </w:pPr>
            <w:r>
              <w:rPr>
                <w:rFonts w:ascii="Times New Roman" w:hAnsi="Times New Roman" w:eastAsia="仿宋_GB2312"/>
              </w:rPr>
              <w:t>92.04</w:t>
            </w:r>
          </w:p>
        </w:tc>
        <w:tc>
          <w:tcPr>
            <w:tcW w:w="1404" w:type="dxa"/>
            <w:shd w:val="clear" w:color="auto" w:fill="auto"/>
            <w:vAlign w:val="center"/>
          </w:tcPr>
          <w:p w14:paraId="695DD000">
            <w:pPr>
              <w:pStyle w:val="15"/>
              <w:overflowPunct w:val="0"/>
              <w:spacing w:before="0" w:beforeAutospacing="0" w:after="0" w:afterAutospacing="0" w:line="380" w:lineRule="exact"/>
              <w:jc w:val="center"/>
              <w:rPr>
                <w:rFonts w:ascii="Times New Roman" w:hAnsi="Times New Roman" w:eastAsia="仿宋_GB2312"/>
              </w:rPr>
            </w:pPr>
            <w:r>
              <w:rPr>
                <w:rFonts w:ascii="Times New Roman" w:hAnsi="Times New Roman" w:eastAsia="仿宋_GB2312"/>
              </w:rPr>
              <w:t>93</w:t>
            </w:r>
          </w:p>
        </w:tc>
        <w:tc>
          <w:tcPr>
            <w:tcW w:w="1644" w:type="dxa"/>
            <w:shd w:val="clear" w:color="auto" w:fill="auto"/>
            <w:vAlign w:val="center"/>
          </w:tcPr>
          <w:p w14:paraId="41347652">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47EF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4D0D7FDC">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17.劳动保障监察举报投诉案件结案率（%）</w:t>
            </w:r>
          </w:p>
        </w:tc>
        <w:tc>
          <w:tcPr>
            <w:tcW w:w="1341" w:type="dxa"/>
            <w:shd w:val="clear" w:color="auto" w:fill="auto"/>
            <w:vAlign w:val="center"/>
          </w:tcPr>
          <w:p w14:paraId="0EBB303D">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100</w:t>
            </w:r>
          </w:p>
        </w:tc>
        <w:tc>
          <w:tcPr>
            <w:tcW w:w="1404" w:type="dxa"/>
            <w:shd w:val="clear" w:color="auto" w:fill="auto"/>
            <w:vAlign w:val="center"/>
          </w:tcPr>
          <w:p w14:paraId="7CE0E060">
            <w:pPr>
              <w:pStyle w:val="15"/>
              <w:overflowPunct w:val="0"/>
              <w:spacing w:before="0" w:beforeAutospacing="0" w:after="0" w:afterAutospacing="0" w:line="380" w:lineRule="exact"/>
              <w:jc w:val="center"/>
              <w:rPr>
                <w:rFonts w:ascii="Times New Roman" w:hAnsi="Times New Roman" w:eastAsia="仿宋_GB2312"/>
              </w:rPr>
            </w:pPr>
            <w:r>
              <w:rPr>
                <w:rFonts w:ascii="Times New Roman" w:hAnsi="Times New Roman" w:eastAsia="仿宋_GB2312"/>
              </w:rPr>
              <w:t>96</w:t>
            </w:r>
          </w:p>
        </w:tc>
        <w:tc>
          <w:tcPr>
            <w:tcW w:w="1644" w:type="dxa"/>
            <w:shd w:val="clear" w:color="auto" w:fill="auto"/>
            <w:vAlign w:val="center"/>
          </w:tcPr>
          <w:p w14:paraId="621357CB">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0D1D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39" w:type="dxa"/>
            <w:gridSpan w:val="4"/>
            <w:shd w:val="clear" w:color="auto" w:fill="auto"/>
            <w:vAlign w:val="center"/>
          </w:tcPr>
          <w:p w14:paraId="2235EA88">
            <w:pPr>
              <w:pStyle w:val="15"/>
              <w:overflowPunct w:val="0"/>
              <w:spacing w:before="0" w:beforeAutospacing="0" w:after="0" w:afterAutospacing="0" w:line="380" w:lineRule="exact"/>
              <w:rPr>
                <w:rFonts w:ascii="Times New Roman" w:hAnsi="Times New Roman" w:eastAsia="仿宋_GB2312"/>
              </w:rPr>
            </w:pPr>
            <w:r>
              <w:rPr>
                <w:rFonts w:ascii="Times New Roman" w:hAnsi="Times New Roman" w:eastAsia="仿宋_GB2312"/>
                <w:b/>
                <w:bCs/>
              </w:rPr>
              <w:t>五、公共服务</w:t>
            </w:r>
          </w:p>
        </w:tc>
      </w:tr>
      <w:tr w14:paraId="0E18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4EFFDCB4">
            <w:pPr>
              <w:pStyle w:val="15"/>
              <w:overflowPunct w:val="0"/>
              <w:spacing w:before="0" w:beforeAutospacing="0" w:after="0" w:afterAutospacing="0" w:line="380" w:lineRule="exact"/>
              <w:rPr>
                <w:rFonts w:ascii="仿宋_GB2312" w:hAnsi="仿宋_GB2312" w:eastAsia="仿宋_GB2312" w:cs="仿宋_GB2312"/>
                <w:kern w:val="2"/>
              </w:rPr>
            </w:pPr>
            <w:r>
              <w:rPr>
                <w:rFonts w:hint="eastAsia" w:ascii="仿宋_GB2312" w:hAnsi="仿宋_GB2312" w:eastAsia="仿宋_GB2312" w:cs="仿宋_GB2312"/>
                <w:kern w:val="2"/>
              </w:rPr>
              <w:t>18.社会保障卡持卡人数（万人）</w:t>
            </w:r>
          </w:p>
        </w:tc>
        <w:tc>
          <w:tcPr>
            <w:tcW w:w="1341" w:type="dxa"/>
            <w:shd w:val="clear" w:color="auto" w:fill="auto"/>
            <w:vAlign w:val="center"/>
          </w:tcPr>
          <w:p w14:paraId="084054AB">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813</w:t>
            </w:r>
          </w:p>
        </w:tc>
        <w:tc>
          <w:tcPr>
            <w:tcW w:w="1404" w:type="dxa"/>
            <w:shd w:val="clear" w:color="auto" w:fill="auto"/>
            <w:vAlign w:val="center"/>
          </w:tcPr>
          <w:p w14:paraId="0D566D40">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900</w:t>
            </w:r>
          </w:p>
        </w:tc>
        <w:tc>
          <w:tcPr>
            <w:tcW w:w="1644" w:type="dxa"/>
            <w:shd w:val="clear" w:color="auto" w:fill="auto"/>
            <w:vAlign w:val="center"/>
          </w:tcPr>
          <w:p w14:paraId="4806F3B3">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3FF3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3DB03E88">
            <w:pPr>
              <w:pStyle w:val="15"/>
              <w:overflowPunct w:val="0"/>
              <w:spacing w:before="0" w:beforeAutospacing="0" w:after="0" w:afterAutospacing="0" w:line="380" w:lineRule="exact"/>
              <w:rPr>
                <w:rFonts w:ascii="仿宋_GB2312" w:hAnsi="仿宋_GB2312" w:eastAsia="仿宋_GB2312" w:cs="仿宋_GB2312"/>
                <w:kern w:val="2"/>
              </w:rPr>
            </w:pPr>
            <w:r>
              <w:rPr>
                <w:rFonts w:hint="eastAsia" w:ascii="仿宋_GB2312" w:hAnsi="仿宋_GB2312" w:eastAsia="仿宋_GB2312" w:cs="仿宋_GB2312"/>
                <w:kern w:val="2"/>
              </w:rPr>
              <w:t>19.其中：申领电子社保卡人口覆盖率(%)</w:t>
            </w:r>
          </w:p>
        </w:tc>
        <w:tc>
          <w:tcPr>
            <w:tcW w:w="1341" w:type="dxa"/>
            <w:shd w:val="clear" w:color="auto" w:fill="auto"/>
            <w:vAlign w:val="center"/>
          </w:tcPr>
          <w:p w14:paraId="38ABD9B3">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16.9</w:t>
            </w:r>
          </w:p>
        </w:tc>
        <w:tc>
          <w:tcPr>
            <w:tcW w:w="1404" w:type="dxa"/>
            <w:shd w:val="clear" w:color="auto" w:fill="auto"/>
            <w:vAlign w:val="center"/>
          </w:tcPr>
          <w:p w14:paraId="166E6687">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75</w:t>
            </w:r>
          </w:p>
        </w:tc>
        <w:tc>
          <w:tcPr>
            <w:tcW w:w="1644" w:type="dxa"/>
            <w:shd w:val="clear" w:color="auto" w:fill="auto"/>
            <w:vAlign w:val="center"/>
          </w:tcPr>
          <w:p w14:paraId="7ED4B7CE">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1D54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39" w:type="dxa"/>
            <w:gridSpan w:val="4"/>
            <w:shd w:val="clear" w:color="auto" w:fill="auto"/>
            <w:vAlign w:val="center"/>
          </w:tcPr>
          <w:p w14:paraId="5956FDB2">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注：1.[  ]内为五年积累数；2.就业类指标中，由于地市一级调查样本容量不够，不设置城镇调查失业率指标。</w:t>
            </w:r>
          </w:p>
        </w:tc>
      </w:tr>
    </w:tbl>
    <w:p w14:paraId="79E1611C">
      <w:pPr>
        <w:keepNext/>
        <w:keepLines/>
        <w:spacing w:line="520" w:lineRule="exact"/>
        <w:jc w:val="center"/>
        <w:outlineLvl w:val="0"/>
        <w:rPr>
          <w:rFonts w:hint="eastAsia" w:ascii="黑体" w:hAnsi="黑体" w:eastAsia="黑体"/>
          <w:kern w:val="44"/>
          <w:szCs w:val="32"/>
        </w:rPr>
      </w:pPr>
    </w:p>
    <w:p w14:paraId="64A642B0">
      <w:pPr>
        <w:keepNext/>
        <w:keepLines/>
        <w:spacing w:line="520" w:lineRule="exact"/>
        <w:jc w:val="center"/>
        <w:outlineLvl w:val="0"/>
        <w:rPr>
          <w:rFonts w:ascii="黑体" w:hAnsi="黑体" w:eastAsia="黑体"/>
          <w:kern w:val="44"/>
          <w:szCs w:val="32"/>
        </w:rPr>
      </w:pPr>
      <w:r>
        <w:rPr>
          <w:rFonts w:hint="eastAsia" w:ascii="黑体" w:hAnsi="黑体" w:eastAsia="黑体"/>
          <w:kern w:val="44"/>
          <w:szCs w:val="32"/>
        </w:rPr>
        <w:t>第三章 努力实现更加充分更高质量的就业</w:t>
      </w:r>
    </w:p>
    <w:p w14:paraId="4ED6F386">
      <w:pPr>
        <w:spacing w:line="460" w:lineRule="exact"/>
        <w:rPr>
          <w:rFonts w:ascii="仿宋" w:hAnsi="仿宋" w:eastAsia="仿宋"/>
          <w:sz w:val="30"/>
          <w:szCs w:val="30"/>
        </w:rPr>
      </w:pPr>
    </w:p>
    <w:p w14:paraId="2AD77247">
      <w:pPr>
        <w:spacing w:line="600" w:lineRule="exact"/>
        <w:ind w:firstLine="636" w:firstLineChars="200"/>
        <w:rPr>
          <w:rFonts w:ascii="仿宋" w:hAnsi="仿宋" w:eastAsia="仿宋"/>
          <w:b/>
          <w:szCs w:val="32"/>
        </w:rPr>
      </w:pPr>
      <w:r>
        <w:rPr>
          <w:rFonts w:hAnsi="仿宋"/>
          <w:szCs w:val="32"/>
        </w:rPr>
        <w:t>坚持劳动者自主就业、市场调节就业、政府促进就业和鼓励创业的方针，</w:t>
      </w:r>
      <w:r>
        <w:rPr>
          <w:rFonts w:hint="eastAsia" w:hAnsi="仿宋"/>
          <w:szCs w:val="32"/>
        </w:rPr>
        <w:t>深入实施就业优先战略和更加积极的就业政策，以解决结构性就业矛盾为重点，深入推进体制机制创新，健全就业政策协同机制，坚持扩大就业和经济发展良性互动，促进创业带动就业，创造更多就业岗位，着力防范失业风险，实现更充分更高质量就业，保持就业局势整体稳定。</w:t>
      </w:r>
    </w:p>
    <w:p w14:paraId="0F9C647B">
      <w:pPr>
        <w:spacing w:line="460" w:lineRule="exact"/>
        <w:ind w:firstLine="636" w:firstLineChars="200"/>
        <w:textAlignment w:val="top"/>
        <w:rPr>
          <w:rFonts w:hAnsi="仿宋"/>
          <w:szCs w:val="32"/>
        </w:rPr>
      </w:pPr>
    </w:p>
    <w:p w14:paraId="4465C60C">
      <w:pPr>
        <w:pStyle w:val="3"/>
        <w:spacing w:line="460" w:lineRule="exact"/>
        <w:rPr>
          <w:rFonts w:ascii="黑体" w:hAnsi="黑体" w:eastAsia="黑体"/>
          <w:b w:val="0"/>
          <w:bCs w:val="0"/>
          <w:sz w:val="32"/>
          <w:szCs w:val="32"/>
        </w:rPr>
      </w:pPr>
      <w:r>
        <w:rPr>
          <w:rFonts w:ascii="黑体" w:hAnsi="黑体" w:eastAsia="黑体"/>
          <w:b w:val="0"/>
          <w:bCs w:val="0"/>
          <w:sz w:val="32"/>
          <w:szCs w:val="32"/>
        </w:rPr>
        <w:t>第一节</w:t>
      </w:r>
      <w:r>
        <w:rPr>
          <w:rFonts w:hint="eastAsia" w:ascii="黑体" w:hAnsi="黑体" w:eastAsia="黑体"/>
          <w:b w:val="0"/>
          <w:bCs w:val="0"/>
          <w:sz w:val="32"/>
          <w:szCs w:val="32"/>
          <w:lang w:val="en-US" w:eastAsia="zh-CN"/>
        </w:rPr>
        <w:t xml:space="preserve"> </w:t>
      </w:r>
      <w:r>
        <w:rPr>
          <w:rFonts w:ascii="黑体" w:hAnsi="黑体" w:eastAsia="黑体"/>
          <w:b w:val="0"/>
          <w:bCs w:val="0"/>
          <w:sz w:val="32"/>
          <w:szCs w:val="32"/>
        </w:rPr>
        <w:t>大力实施就业优先战略</w:t>
      </w:r>
    </w:p>
    <w:p w14:paraId="30C2CB4C">
      <w:pPr>
        <w:spacing w:line="460" w:lineRule="exact"/>
        <w:jc w:val="center"/>
        <w:rPr>
          <w:rFonts w:ascii="仿宋" w:hAnsi="仿宋" w:eastAsia="仿宋"/>
          <w:b/>
          <w:sz w:val="30"/>
          <w:szCs w:val="30"/>
        </w:rPr>
      </w:pPr>
    </w:p>
    <w:p w14:paraId="6D523ECE">
      <w:pPr>
        <w:spacing w:line="600" w:lineRule="exact"/>
        <w:ind w:firstLine="636" w:firstLineChars="200"/>
        <w:rPr>
          <w:rFonts w:hAnsi="仿宋"/>
          <w:szCs w:val="32"/>
        </w:rPr>
      </w:pPr>
      <w:r>
        <w:rPr>
          <w:rFonts w:hint="eastAsia" w:hAnsi="仿宋"/>
          <w:szCs w:val="32"/>
        </w:rPr>
        <w:t>根据经济内循环和外循环的特点，既要克服“招工难”，也要应对“就业难”。要</w:t>
      </w:r>
      <w:r>
        <w:rPr>
          <w:rFonts w:hAnsi="仿宋"/>
          <w:szCs w:val="32"/>
        </w:rPr>
        <w:t>坚持把促进充分就业作为经济社会发展的优先目标，把稳定和扩大就业作为经济运行合理区间的下限，健全经济发展与就业增长联动机制，将市场就业导向、经济转型升级需求和劳动者就业创业意愿有机结合起来，促进就业与产业转型升级、新型城镇化、信息化等发展战略的良性互动、深度融合。坚持分类施策，提高劳动参与率，着力培养新的就业增长点，</w:t>
      </w:r>
      <w:r>
        <w:rPr>
          <w:rFonts w:hint="eastAsia" w:hAnsi="仿宋"/>
          <w:szCs w:val="32"/>
        </w:rPr>
        <w:t>在推进乡村振兴中提供更多更优就业创业岗位，</w:t>
      </w:r>
      <w:r>
        <w:rPr>
          <w:rFonts w:hAnsi="仿宋"/>
          <w:szCs w:val="32"/>
        </w:rPr>
        <w:t>扩大城镇就业规模。强化就业工作领导机制建设，完善就业考核工作体系，把就业成效作为评价经济社会发展成果的重要指标，进一步强化政府促进就业的法律责任。</w:t>
      </w:r>
    </w:p>
    <w:p w14:paraId="2A1ADE25">
      <w:pPr>
        <w:pStyle w:val="2"/>
        <w:spacing w:line="460" w:lineRule="exact"/>
      </w:pPr>
    </w:p>
    <w:p w14:paraId="20E6A998">
      <w:pPr>
        <w:pStyle w:val="3"/>
        <w:spacing w:line="460" w:lineRule="exact"/>
        <w:rPr>
          <w:rFonts w:ascii="黑体" w:hAnsi="黑体" w:eastAsia="黑体"/>
          <w:b w:val="0"/>
          <w:bCs w:val="0"/>
          <w:sz w:val="32"/>
          <w:szCs w:val="32"/>
        </w:rPr>
      </w:pPr>
      <w:r>
        <w:rPr>
          <w:rFonts w:hint="eastAsia" w:ascii="黑体" w:hAnsi="黑体" w:eastAsia="黑体"/>
          <w:b w:val="0"/>
          <w:bCs w:val="0"/>
          <w:sz w:val="32"/>
          <w:szCs w:val="32"/>
        </w:rPr>
        <w:t>第二节 强化就业优先政策</w:t>
      </w:r>
    </w:p>
    <w:p w14:paraId="74CA792C">
      <w:pPr>
        <w:spacing w:line="460" w:lineRule="exact"/>
        <w:ind w:firstLine="596" w:firstLineChars="200"/>
        <w:rPr>
          <w:rFonts w:ascii="仿宋" w:hAnsi="仿宋" w:eastAsia="仿宋"/>
          <w:sz w:val="30"/>
          <w:szCs w:val="30"/>
        </w:rPr>
      </w:pPr>
    </w:p>
    <w:p w14:paraId="178E22D3">
      <w:pPr>
        <w:spacing w:line="600" w:lineRule="exact"/>
        <w:ind w:firstLine="636" w:firstLineChars="200"/>
        <w:rPr>
          <w:rFonts w:hAnsi="仿宋"/>
          <w:szCs w:val="32"/>
        </w:rPr>
      </w:pPr>
      <w:r>
        <w:rPr>
          <w:rFonts w:hAnsi="仿宋"/>
          <w:szCs w:val="32"/>
        </w:rPr>
        <w:t>坚持经济发展就业导向，健全就业目标责任考核机制和就业影响评估机制。</w:t>
      </w:r>
      <w:r>
        <w:rPr>
          <w:rFonts w:hint="eastAsia" w:hAnsi="仿宋"/>
          <w:szCs w:val="32"/>
        </w:rPr>
        <w:t>坚持把稳定和扩大就业作为经济社会发展的优先目标，</w:t>
      </w:r>
      <w:r>
        <w:rPr>
          <w:rFonts w:hAnsi="仿宋"/>
          <w:szCs w:val="32"/>
        </w:rPr>
        <w:t>加强就业政策与财税、</w:t>
      </w:r>
      <w:r>
        <w:rPr>
          <w:rFonts w:hint="eastAsia" w:hAnsi="仿宋"/>
          <w:szCs w:val="32"/>
        </w:rPr>
        <w:t>金融、产业等政策的衔接，形成有利于促进就业的综合性经济政策体系，推动经济发展和扩大就业良性互动。</w:t>
      </w:r>
      <w:r>
        <w:rPr>
          <w:rFonts w:hAnsi="仿宋"/>
          <w:szCs w:val="32"/>
        </w:rPr>
        <w:t>完善高校毕业生、退役军人、农民工等重点群体就业支持体系。完善与就业容量挂钩的产业政策，支持吸纳就业能力强的服务业、中小微企业和劳动密集型企业发展，稳定拓展社区超市、便利店和社区服务岗位。</w:t>
      </w:r>
      <w:r>
        <w:rPr>
          <w:rFonts w:hint="eastAsia" w:hAnsi="仿宋"/>
          <w:szCs w:val="32"/>
        </w:rPr>
        <w:t>积极发掘就业增长点，重点发掘电子信息和数字产业等新动能行业产业就业岗位增长点。</w:t>
      </w:r>
      <w:r>
        <w:t>落实政府促进就业工作主体责任，建立健全</w:t>
      </w:r>
      <w:r>
        <w:rPr>
          <w:rFonts w:hint="eastAsia"/>
        </w:rPr>
        <w:t>市、</w:t>
      </w:r>
      <w:r>
        <w:t>县政府就业工作组织领导机制，完善跨层级、跨部门、跨区域的重大风险协同应对机制。夯实就业工作目标责任制、工作督查考核机制。</w:t>
      </w:r>
      <w:r>
        <w:rPr>
          <w:rFonts w:hAnsi="仿宋"/>
          <w:szCs w:val="32"/>
        </w:rPr>
        <w:t>加强就业政策与教育、社会保障等政策的衔接，促进就业政策的公平与公正。围绕解决结构性就业矛盾、鼓励劳动者自主创业、提高就业质量，进一步完善积极的就业创业政策。加强对灵活就业、新就业形态的政策支持，促进多种形式就业。健全法律制度和监督机制，</w:t>
      </w:r>
      <w:r>
        <w:rPr>
          <w:rFonts w:hint="eastAsia" w:hAnsi="仿宋"/>
          <w:szCs w:val="32"/>
        </w:rPr>
        <w:t>加强各类群体就业政策的协调，</w:t>
      </w:r>
      <w:r>
        <w:rPr>
          <w:rFonts w:hAnsi="仿宋"/>
          <w:szCs w:val="32"/>
        </w:rPr>
        <w:t>消除城乡、性别、身份、行业等一切影响平等就业的制度障碍，坚决防止和纠正就业歧视，营造公平就业制度环境</w:t>
      </w:r>
      <w:r>
        <w:rPr>
          <w:rFonts w:hint="eastAsia" w:hAnsi="仿宋"/>
          <w:szCs w:val="32"/>
        </w:rPr>
        <w:t>，促进平等就业。健全失业风险防控机制，加强就业形势研判和失业风险监测，完善突发事件应急处置机制，防止规模性失业引发的群体性突发事件。</w:t>
      </w:r>
    </w:p>
    <w:p w14:paraId="6D45B294">
      <w:pPr>
        <w:spacing w:line="600" w:lineRule="exact"/>
        <w:ind w:firstLine="636" w:firstLineChars="200"/>
        <w:rPr>
          <w:rFonts w:hAnsi="仿宋"/>
          <w:szCs w:val="32"/>
        </w:rPr>
      </w:pPr>
      <w:r>
        <w:rPr>
          <w:rFonts w:hint="eastAsia" w:hAnsi="仿宋"/>
          <w:szCs w:val="32"/>
        </w:rPr>
        <w:t>实施农民工广厦行动。对来榕务工人员实施积分制优先扶持政策，按照“效率优先、兼顾公平”的原则，对积分达到一定分值的来榕务工人员，可以按相关规定享受随迁子女入学时优先择校、申请公共租赁住房时优先分配、申购限价房时优先分配等相应的公共服务和优先扶持政策。实施中西部农民工入榕行动。加强与云南、贵州等西南地区政府部门的劳务协作，支持云南、贵州外出劳动力较多的市州在我市建立劳务工作站，推进农民工输转组织化程度。指导云、贵两省劳动力丰富的县在我市用工量大的县建立劳务工作站，加大政府对务工人员的宣传引导；探索依托云南、贵州的我市在地商会，作为我市驻点招工基地，帮助我市重点企业在当地招工。实施高质量就业岗位供给行动。坚持把稳定和扩大就业作为经济社会发展的优先目标，实施就业优先政策，统筹发展资本密集型、技术密集型、知识密集型和劳动密集型产业，为劳动力和人才流动创造更充分机会。</w:t>
      </w:r>
      <w:r>
        <w:rPr>
          <w:rFonts w:hAnsi="仿宋"/>
          <w:szCs w:val="32"/>
        </w:rPr>
        <w:t>积极推进脱贫攻坚和乡村振兴有效衔接，引导农村劳动力转移就业、就近就业和返乡创业。</w:t>
      </w:r>
    </w:p>
    <w:p w14:paraId="5383AF8D">
      <w:pPr>
        <w:spacing w:line="460" w:lineRule="exact"/>
        <w:rPr>
          <w:szCs w:val="32"/>
        </w:rPr>
      </w:pPr>
    </w:p>
    <w:p w14:paraId="3BF5E5ED">
      <w:pPr>
        <w:pStyle w:val="3"/>
        <w:spacing w:line="460" w:lineRule="exact"/>
        <w:rPr>
          <w:rFonts w:ascii="黑体" w:hAnsi="黑体" w:eastAsia="黑体"/>
          <w:b w:val="0"/>
          <w:bCs w:val="0"/>
          <w:sz w:val="32"/>
          <w:szCs w:val="32"/>
        </w:rPr>
      </w:pPr>
      <w:r>
        <w:rPr>
          <w:rFonts w:hint="eastAsia" w:ascii="黑体" w:hAnsi="黑体" w:eastAsia="黑体"/>
          <w:b w:val="0"/>
          <w:bCs w:val="0"/>
          <w:sz w:val="32"/>
          <w:szCs w:val="32"/>
        </w:rPr>
        <w:t>第三节 促进以创业带动就业</w:t>
      </w:r>
    </w:p>
    <w:p w14:paraId="585EC58F">
      <w:pPr>
        <w:spacing w:line="460" w:lineRule="exact"/>
        <w:rPr>
          <w:rFonts w:ascii="仿宋" w:hAnsi="仿宋" w:eastAsia="仿宋"/>
          <w:sz w:val="30"/>
          <w:szCs w:val="30"/>
        </w:rPr>
      </w:pPr>
    </w:p>
    <w:p w14:paraId="435C4A16">
      <w:pPr>
        <w:spacing w:line="600" w:lineRule="exact"/>
        <w:ind w:firstLine="636" w:firstLineChars="200"/>
        <w:rPr>
          <w:rFonts w:hAnsi="仿宋"/>
          <w:szCs w:val="32"/>
        </w:rPr>
      </w:pPr>
      <w:r>
        <w:rPr>
          <w:rFonts w:hint="eastAsia" w:hAnsi="仿宋"/>
          <w:szCs w:val="32"/>
        </w:rPr>
        <w:t>建立促进创业带动就业、多渠道灵活就业机制，优化政策环境，降低创业成本，形成政府激励创业、社会支持创业、劳动者勇于创业的格局。继续稳健运营“福州大学生创业孵化示范园”，充分利用就业创业主管部门政策优势、服务优势，不断拓展导师问诊、优秀项目扶持等服务内容，深入推进就业创业工作。着力解决劳动者创业过程中融资难、门槛高等问题，使民营经济和小微企业成为巨大的“就业容纳器”。加强创业孵化基地、创业园区和众创空间等新型创业平台建设，依托高新区、软件园等产业园区，打造集“众创空间—孵化器—加速器—产业园区”为一体的科创企业孵化育成体系，对入园企业提供全方位扶持，促进产业资源、创业资本、高端人才等创业创新要素和各类服务向创业平台聚集。</w:t>
      </w:r>
    </w:p>
    <w:p w14:paraId="6BF3B9DF">
      <w:pPr>
        <w:spacing w:line="600" w:lineRule="exact"/>
        <w:ind w:firstLine="636" w:firstLineChars="200"/>
        <w:rPr>
          <w:rFonts w:hAnsi="仿宋"/>
          <w:szCs w:val="32"/>
        </w:rPr>
      </w:pPr>
      <w:r>
        <w:rPr>
          <w:rFonts w:hAnsi="仿宋"/>
          <w:szCs w:val="32"/>
        </w:rPr>
        <w:t>构建政府投入专项资金、市场引入风投资金、政策扶持小额融资的多渠道创业资金投入机制，加大融资和扶持力度。</w:t>
      </w:r>
      <w:r>
        <w:rPr>
          <w:rFonts w:hint="eastAsia" w:hAnsi="仿宋"/>
          <w:szCs w:val="32"/>
        </w:rPr>
        <w:t>进一步推动返乡入乡创业，以创新带动创业，以创业带动就业，遴选一批优质返乡入乡创业示范项目，给予跟踪帮扶。支持技工学校、高技能人才培训基地、技能大师工作室面向社会开放培训资源，向有就业创业愿望的市民提供免费培训。落实一次性创业补贴、租金补贴、求职创业补贴、创业担保贷款等创业扶持政策，继续开展“植根榕城”优秀创业项目评选，每年遴选扶持</w:t>
      </w:r>
      <w:r>
        <w:rPr>
          <w:rFonts w:hAnsi="仿宋"/>
          <w:szCs w:val="32"/>
        </w:rPr>
        <w:t>50</w:t>
      </w:r>
      <w:r>
        <w:rPr>
          <w:rFonts w:hint="eastAsia" w:hAnsi="仿宋"/>
          <w:szCs w:val="32"/>
          <w:lang w:eastAsia="zh-CN"/>
        </w:rPr>
        <w:t>—</w:t>
      </w:r>
      <w:r>
        <w:rPr>
          <w:rFonts w:hAnsi="仿宋"/>
          <w:szCs w:val="32"/>
        </w:rPr>
        <w:t>100个高校毕业生创业项目，建立和完善市级创业导师（专家）库。加大个体工商户、灵活就业人员创业创新扶持力度，引导城镇失业人员等其他各类人员以创业促就业。加强创业培训</w:t>
      </w:r>
      <w:r>
        <w:rPr>
          <w:rFonts w:hint="eastAsia" w:hAnsi="仿宋"/>
          <w:szCs w:val="32"/>
        </w:rPr>
        <w:t>，</w:t>
      </w:r>
      <w:r>
        <w:rPr>
          <w:rFonts w:hAnsi="仿宋"/>
          <w:szCs w:val="32"/>
        </w:rPr>
        <w:t>推动实体创业和网络创业齐头并进、城镇创业和农村创业两轮驱动，形成政府激励创业、社会支持创业、劳动者勇于创业</w:t>
      </w:r>
      <w:r>
        <w:rPr>
          <w:rFonts w:hint="eastAsia" w:hAnsi="仿宋"/>
          <w:szCs w:val="32"/>
        </w:rPr>
        <w:t>的</w:t>
      </w:r>
      <w:r>
        <w:rPr>
          <w:rFonts w:hAnsi="仿宋"/>
          <w:szCs w:val="32"/>
        </w:rPr>
        <w:t>新</w:t>
      </w:r>
      <w:r>
        <w:rPr>
          <w:rFonts w:hint="eastAsia" w:hAnsi="仿宋"/>
          <w:szCs w:val="32"/>
        </w:rPr>
        <w:t>格局。</w:t>
      </w:r>
      <w:r>
        <w:rPr>
          <w:rFonts w:hAnsi="仿宋"/>
          <w:szCs w:val="32"/>
        </w:rPr>
        <w:t>加强创业服务</w:t>
      </w:r>
      <w:r>
        <w:rPr>
          <w:rFonts w:hint="eastAsia" w:hAnsi="仿宋"/>
          <w:szCs w:val="32"/>
        </w:rPr>
        <w:t>，</w:t>
      </w:r>
      <w:r>
        <w:rPr>
          <w:rFonts w:hAnsi="仿宋"/>
          <w:szCs w:val="32"/>
        </w:rPr>
        <w:t>定期开展创业大赛、创业论坛、创业创新项目成果展示等活动</w:t>
      </w:r>
      <w:r>
        <w:rPr>
          <w:rFonts w:hint="eastAsia" w:hAnsi="仿宋"/>
          <w:szCs w:val="32"/>
        </w:rPr>
        <w:t>，在全社会大力弘扬创业风尚，营造良好创业创新环境。</w:t>
      </w:r>
    </w:p>
    <w:p w14:paraId="3EA2DED9">
      <w:pPr>
        <w:pStyle w:val="2"/>
        <w:spacing w:line="600" w:lineRule="exact"/>
      </w:pPr>
    </w:p>
    <w:p w14:paraId="4C56B74E">
      <w:pPr>
        <w:pStyle w:val="3"/>
        <w:spacing w:line="460" w:lineRule="exact"/>
        <w:rPr>
          <w:rFonts w:ascii="黑体" w:hAnsi="黑体" w:eastAsia="黑体"/>
          <w:b w:val="0"/>
          <w:bCs w:val="0"/>
          <w:sz w:val="32"/>
          <w:szCs w:val="32"/>
        </w:rPr>
      </w:pPr>
      <w:r>
        <w:rPr>
          <w:rFonts w:hint="eastAsia" w:ascii="黑体" w:hAnsi="黑体" w:eastAsia="黑体"/>
          <w:b w:val="0"/>
          <w:bCs w:val="0"/>
          <w:sz w:val="32"/>
          <w:szCs w:val="32"/>
        </w:rPr>
        <w:t>第四节 重点群体就业行动</w:t>
      </w:r>
    </w:p>
    <w:p w14:paraId="5DED9FB7">
      <w:pPr>
        <w:spacing w:line="460" w:lineRule="exact"/>
        <w:ind w:firstLine="596" w:firstLineChars="200"/>
        <w:rPr>
          <w:rFonts w:ascii="仿宋" w:hAnsi="仿宋" w:eastAsia="仿宋"/>
          <w:sz w:val="30"/>
          <w:szCs w:val="30"/>
        </w:rPr>
      </w:pPr>
    </w:p>
    <w:p w14:paraId="729FE166">
      <w:pPr>
        <w:spacing w:line="600" w:lineRule="exact"/>
        <w:ind w:firstLine="636" w:firstLineChars="200"/>
        <w:rPr>
          <w:rFonts w:hAnsi="仿宋"/>
          <w:szCs w:val="32"/>
        </w:rPr>
      </w:pPr>
      <w:r>
        <w:rPr>
          <w:rFonts w:hint="eastAsia" w:hAnsi="仿宋"/>
          <w:szCs w:val="32"/>
        </w:rPr>
        <w:t>坚持把高校毕业生就业作为重中之重，深入实施高校毕业生就业创业促进计划，开发更多适合高校毕业生的高质量就业岗位，鼓励支持多渠道多形式就业。统筹实施“三支一扶”计划等基层服务项目，招募</w:t>
      </w:r>
      <w:r>
        <w:rPr>
          <w:rFonts w:hAnsi="仿宋"/>
          <w:szCs w:val="32"/>
        </w:rPr>
        <w:t>400名“三支一扶”高校毕业生到乡镇基层服务，构建引导和鼓励高校毕业生到基层工作长效机制。强化就业创业公共服务，大力推行网上招聘</w:t>
      </w:r>
      <w:r>
        <w:rPr>
          <w:rFonts w:hint="eastAsia" w:hAnsi="仿宋"/>
          <w:szCs w:val="32"/>
        </w:rPr>
        <w:t>，加强实名制就业服务，对困难高校毕业生</w:t>
      </w:r>
      <w:r>
        <w:rPr>
          <w:rFonts w:hAnsi="仿宋"/>
          <w:szCs w:val="32"/>
        </w:rPr>
        <w:t>实施就业帮扶援助</w:t>
      </w:r>
      <w:r>
        <w:rPr>
          <w:rFonts w:hint="eastAsia" w:hAnsi="仿宋"/>
          <w:szCs w:val="32"/>
        </w:rPr>
        <w:t>，实名登记就业率不低于</w:t>
      </w:r>
      <w:r>
        <w:rPr>
          <w:rFonts w:hAnsi="仿宋"/>
          <w:szCs w:val="32"/>
        </w:rPr>
        <w:t>95%。</w:t>
      </w:r>
    </w:p>
    <w:p w14:paraId="51AE1248">
      <w:pPr>
        <w:spacing w:line="600" w:lineRule="exact"/>
        <w:ind w:firstLine="636" w:firstLineChars="200"/>
        <w:rPr>
          <w:rFonts w:hAnsi="仿宋"/>
          <w:szCs w:val="32"/>
        </w:rPr>
      </w:pPr>
      <w:r>
        <w:rPr>
          <w:rFonts w:hint="eastAsia" w:hAnsi="仿宋"/>
          <w:szCs w:val="32"/>
        </w:rPr>
        <w:t>统筹城乡就业，健全完善城乡劳动者平等就业制度，促进农村劳动力转移就业和外出务工人员返乡创业。拓宽农村劳动力转移渠道，加强跨区域劳务协作，实施企业用工调剂计划，鼓励有需求的企业开展“共享用工”，依托各类社会组织帮助企业引进劳动力，灵活用工。鼓励农民工就近就地转移就业，扩大返乡留乡农民工就业规模。配合供给侧结构性改革，加大再就业支持力度，实施再就业帮扶行动，做好化解过剩产能中职工安置工作。加强对就业困难人员的就业援助，规范公益性岗位开发和管理，对就业困难人员实行实名制动态管理和分类帮扶，确保零就业家庭、最低生活保障家庭等困难家庭至少一人实现就业。落实税费减免、创业补贴、创业担保贷款等各项优惠政策，促进退役军人就业，扶持自主择业军转干部、自主就业退役士兵就业，帮助残疾人辅助性就业和灵活就业。</w:t>
      </w:r>
    </w:p>
    <w:p w14:paraId="7DD832B2">
      <w:pPr>
        <w:spacing w:line="460" w:lineRule="exact"/>
        <w:ind w:firstLine="596" w:firstLineChars="200"/>
        <w:jc w:val="center"/>
        <w:rPr>
          <w:rFonts w:ascii="仿宋" w:hAnsi="仿宋" w:eastAsia="仿宋"/>
          <w:b/>
          <w:sz w:val="30"/>
          <w:szCs w:val="30"/>
        </w:rPr>
      </w:pPr>
      <w:r>
        <w:rPr>
          <w:rFonts w:hint="eastAsia" w:ascii="仿宋" w:hAnsi="仿宋" w:eastAsia="仿宋"/>
          <w:b/>
          <w:sz w:val="30"/>
          <w:szCs w:val="30"/>
        </w:rPr>
        <w:t>专栏</w:t>
      </w:r>
      <w:r>
        <w:rPr>
          <w:rFonts w:ascii="仿宋" w:hAnsi="仿宋" w:eastAsia="仿宋"/>
          <w:b/>
          <w:sz w:val="30"/>
          <w:szCs w:val="30"/>
        </w:rPr>
        <w:t>3：重点群体高质量就业专项行动</w:t>
      </w:r>
    </w:p>
    <w:tbl>
      <w:tblPr>
        <w:tblStyle w:val="16"/>
        <w:tblW w:w="8592"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540"/>
        <w:gridCol w:w="8052"/>
      </w:tblGrid>
      <w:tr w14:paraId="5656C00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2EDE886">
            <w:pPr>
              <w:widowControl/>
              <w:spacing w:line="400" w:lineRule="exact"/>
              <w:jc w:val="left"/>
              <w:rPr>
                <w:rFonts w:ascii="楷体" w:hAnsi="楷体" w:eastAsia="楷体" w:cs="楷体"/>
                <w:b/>
                <w:bCs/>
                <w:kern w:val="0"/>
                <w:sz w:val="28"/>
                <w:szCs w:val="28"/>
              </w:rPr>
            </w:pPr>
            <w:r>
              <w:rPr>
                <w:rFonts w:ascii="楷体" w:hAnsi="楷体" w:eastAsia="楷体" w:cs="楷体"/>
                <w:b/>
                <w:bCs/>
                <w:kern w:val="0"/>
                <w:sz w:val="28"/>
                <w:szCs w:val="28"/>
              </w:rPr>
              <w:t>01</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8622CE5">
            <w:pPr>
              <w:widowControl/>
              <w:spacing w:line="400" w:lineRule="exact"/>
              <w:jc w:val="left"/>
              <w:rPr>
                <w:rFonts w:ascii="楷体" w:hAnsi="楷体" w:eastAsia="楷体" w:cs="楷体"/>
                <w:b/>
                <w:bCs/>
                <w:kern w:val="0"/>
                <w:sz w:val="28"/>
                <w:szCs w:val="28"/>
              </w:rPr>
            </w:pPr>
            <w:r>
              <w:rPr>
                <w:rFonts w:hint="eastAsia" w:ascii="楷体" w:hAnsi="楷体" w:eastAsia="楷体" w:cs="楷体"/>
                <w:b/>
                <w:bCs/>
                <w:kern w:val="0"/>
                <w:sz w:val="28"/>
                <w:szCs w:val="28"/>
              </w:rPr>
              <w:t>高校毕业生就业创业促进计划</w:t>
            </w:r>
          </w:p>
        </w:tc>
      </w:tr>
      <w:tr w14:paraId="51FC113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FF42285">
            <w:pPr>
              <w:widowControl/>
              <w:spacing w:line="40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81AE44C">
            <w:pPr>
              <w:spacing w:line="400" w:lineRule="exact"/>
              <w:ind w:firstLine="556" w:firstLineChars="200"/>
              <w:rPr>
                <w:rFonts w:ascii="楷体_GB2312" w:hAnsi="仿宋" w:eastAsia="楷体_GB2312"/>
                <w:sz w:val="28"/>
                <w:szCs w:val="28"/>
              </w:rPr>
            </w:pPr>
            <w:r>
              <w:rPr>
                <w:rFonts w:hint="eastAsia" w:ascii="楷体_GB2312" w:hAnsi="仿宋" w:eastAsia="楷体_GB2312"/>
                <w:sz w:val="28"/>
                <w:szCs w:val="28"/>
              </w:rPr>
              <w:t>健全高校毕业生就业创业服务体系，完善精细化、差异化就业服务机制，提升毕业生就业能力，支持毕业生创业创新，统筹实施高校毕业生“三支一扶”计划等服务基层项目</w:t>
            </w:r>
            <w:r>
              <w:rPr>
                <w:rFonts w:ascii="楷体_GB2312" w:hAnsi="仿宋" w:eastAsia="楷体_GB2312"/>
                <w:sz w:val="28"/>
                <w:szCs w:val="28"/>
              </w:rPr>
              <w:t>,常态化开展专项招聘，实施“就业红娘”帮扶行动，对离校未就业高校毕业生开展实</w:t>
            </w:r>
            <w:r>
              <w:rPr>
                <w:rFonts w:hint="eastAsia" w:ascii="楷体_GB2312" w:hAnsi="仿宋" w:eastAsia="楷体_GB2312"/>
                <w:sz w:val="28"/>
                <w:szCs w:val="28"/>
              </w:rPr>
              <w:t>名制就业帮扶。</w:t>
            </w:r>
          </w:p>
          <w:p w14:paraId="3192BF25">
            <w:pPr>
              <w:numPr>
                <w:ilvl w:val="0"/>
                <w:numId w:val="1"/>
              </w:numPr>
              <w:spacing w:line="400" w:lineRule="exact"/>
              <w:ind w:firstLine="556" w:firstLineChars="200"/>
              <w:rPr>
                <w:rFonts w:ascii="楷体_GB2312" w:hAnsi="仿宋" w:eastAsia="楷体_GB2312"/>
                <w:sz w:val="28"/>
                <w:szCs w:val="28"/>
              </w:rPr>
            </w:pPr>
            <w:r>
              <w:rPr>
                <w:rFonts w:hint="eastAsia" w:ascii="楷体_GB2312" w:hAnsi="仿宋" w:eastAsia="楷体_GB2312"/>
                <w:sz w:val="28"/>
                <w:szCs w:val="28"/>
              </w:rPr>
              <w:t>实施高校毕业生“三支一扶”计划，招募约</w:t>
            </w:r>
            <w:r>
              <w:rPr>
                <w:rFonts w:ascii="楷体_GB2312" w:hAnsi="仿宋" w:eastAsia="楷体_GB2312"/>
                <w:sz w:val="28"/>
                <w:szCs w:val="28"/>
              </w:rPr>
              <w:t>400名高校毕业生到乡镇基层服务。</w:t>
            </w:r>
          </w:p>
          <w:p w14:paraId="04079AEC">
            <w:pPr>
              <w:numPr>
                <w:ilvl w:val="0"/>
                <w:numId w:val="1"/>
              </w:numPr>
              <w:spacing w:line="400" w:lineRule="exact"/>
              <w:ind w:firstLine="556" w:firstLineChars="200"/>
              <w:rPr>
                <w:rFonts w:ascii="楷体_GB2312" w:hAnsi="仿宋" w:eastAsia="楷体_GB2312"/>
                <w:sz w:val="28"/>
                <w:szCs w:val="28"/>
              </w:rPr>
            </w:pPr>
            <w:r>
              <w:rPr>
                <w:rFonts w:hint="eastAsia" w:ascii="楷体_GB2312" w:hAnsi="仿宋" w:eastAsia="楷体_GB2312"/>
                <w:sz w:val="28"/>
                <w:szCs w:val="28"/>
              </w:rPr>
              <w:t>实施青年就业见习计划，每年安排</w:t>
            </w:r>
            <w:r>
              <w:rPr>
                <w:rFonts w:ascii="楷体_GB2312" w:hAnsi="仿宋" w:eastAsia="楷体_GB2312"/>
                <w:sz w:val="28"/>
                <w:szCs w:val="28"/>
              </w:rPr>
              <w:t>1000个见习岗位吸纳高校毕业生就业见习并优先留用。</w:t>
            </w:r>
          </w:p>
          <w:p w14:paraId="551F5EDB">
            <w:pPr>
              <w:numPr>
                <w:ilvl w:val="0"/>
                <w:numId w:val="1"/>
              </w:numPr>
              <w:spacing w:line="400" w:lineRule="exact"/>
              <w:ind w:firstLine="556" w:firstLineChars="200"/>
              <w:rPr>
                <w:rFonts w:ascii="楷体_GB2312" w:hAnsi="仿宋" w:eastAsia="楷体_GB2312"/>
                <w:sz w:val="28"/>
                <w:szCs w:val="28"/>
              </w:rPr>
            </w:pPr>
            <w:r>
              <w:rPr>
                <w:rFonts w:hint="eastAsia" w:ascii="楷体_GB2312" w:hAnsi="仿宋" w:eastAsia="楷体_GB2312"/>
                <w:sz w:val="28"/>
                <w:szCs w:val="28"/>
              </w:rPr>
              <w:t>强化离校未就业高校毕业生实名制就业服务，实名登记就业率不低于</w:t>
            </w:r>
            <w:r>
              <w:rPr>
                <w:rFonts w:ascii="楷体_GB2312" w:hAnsi="仿宋" w:eastAsia="楷体_GB2312"/>
                <w:sz w:val="28"/>
                <w:szCs w:val="28"/>
              </w:rPr>
              <w:t>95%。</w:t>
            </w:r>
          </w:p>
        </w:tc>
      </w:tr>
      <w:tr w14:paraId="18EBDA3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D4CC20C">
            <w:pPr>
              <w:widowControl/>
              <w:spacing w:line="400" w:lineRule="exact"/>
              <w:jc w:val="left"/>
              <w:rPr>
                <w:rFonts w:ascii="楷体" w:hAnsi="楷体" w:eastAsia="楷体" w:cs="楷体"/>
                <w:b/>
                <w:bCs/>
                <w:kern w:val="0"/>
                <w:sz w:val="28"/>
                <w:szCs w:val="28"/>
              </w:rPr>
            </w:pPr>
            <w:r>
              <w:rPr>
                <w:rFonts w:ascii="楷体" w:hAnsi="楷体" w:eastAsia="楷体" w:cs="楷体"/>
                <w:b/>
                <w:bCs/>
                <w:kern w:val="0"/>
                <w:sz w:val="28"/>
                <w:szCs w:val="28"/>
              </w:rPr>
              <w:t>02</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439E232A">
            <w:pPr>
              <w:widowControl/>
              <w:spacing w:line="400" w:lineRule="exact"/>
              <w:jc w:val="left"/>
              <w:rPr>
                <w:rFonts w:ascii="楷体" w:hAnsi="楷体" w:eastAsia="楷体" w:cs="楷体"/>
                <w:b/>
                <w:bCs/>
                <w:kern w:val="0"/>
                <w:sz w:val="28"/>
                <w:szCs w:val="28"/>
              </w:rPr>
            </w:pPr>
            <w:r>
              <w:rPr>
                <w:rFonts w:hint="eastAsia" w:ascii="楷体" w:hAnsi="楷体" w:eastAsia="楷体" w:cs="楷体"/>
                <w:b/>
                <w:bCs/>
                <w:kern w:val="0"/>
                <w:sz w:val="28"/>
                <w:szCs w:val="28"/>
              </w:rPr>
              <w:t>再就业</w:t>
            </w:r>
            <w:r>
              <w:rPr>
                <w:rFonts w:ascii="楷体" w:hAnsi="楷体" w:eastAsia="楷体" w:cs="楷体"/>
                <w:b/>
                <w:bCs/>
                <w:kern w:val="0"/>
                <w:sz w:val="28"/>
                <w:szCs w:val="28"/>
              </w:rPr>
              <w:t>帮扶计划</w:t>
            </w:r>
          </w:p>
        </w:tc>
      </w:tr>
      <w:tr w14:paraId="5A7C9A5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92"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FC735E7">
            <w:pPr>
              <w:widowControl/>
              <w:spacing w:line="40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1B1BAD9">
            <w:pPr>
              <w:spacing w:line="400" w:lineRule="exact"/>
              <w:ind w:firstLine="556" w:firstLineChars="200"/>
              <w:rPr>
                <w:rFonts w:ascii="楷体" w:hAnsi="楷体" w:eastAsia="楷体" w:cs="楷体"/>
                <w:kern w:val="0"/>
                <w:sz w:val="28"/>
                <w:szCs w:val="28"/>
              </w:rPr>
            </w:pPr>
            <w:r>
              <w:rPr>
                <w:rFonts w:ascii="楷体_GB2312" w:hAnsi="仿宋" w:eastAsia="楷体_GB2312"/>
                <w:sz w:val="28"/>
                <w:szCs w:val="28"/>
              </w:rPr>
              <w:t>规范就业困难人员进入和退出机制，提高帮扶的针对性和主动性，推动政策应享尽享。强化一对一服务，加大职业培训、职业指导和职业介绍力度，增强就业</w:t>
            </w:r>
            <w:r>
              <w:rPr>
                <w:rFonts w:hint="eastAsia" w:ascii="楷体_GB2312" w:hAnsi="仿宋" w:eastAsia="楷体_GB2312"/>
                <w:sz w:val="28"/>
                <w:szCs w:val="28"/>
              </w:rPr>
              <w:t>困难人员的</w:t>
            </w:r>
            <w:r>
              <w:rPr>
                <w:rFonts w:ascii="楷体_GB2312" w:hAnsi="仿宋" w:eastAsia="楷体_GB2312"/>
                <w:sz w:val="28"/>
                <w:szCs w:val="28"/>
              </w:rPr>
              <w:t>创业能力和职业转换能力。</w:t>
            </w:r>
          </w:p>
        </w:tc>
      </w:tr>
      <w:tr w14:paraId="3EFE6A1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69"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BB002DF">
            <w:pPr>
              <w:widowControl/>
              <w:spacing w:line="400" w:lineRule="exact"/>
              <w:jc w:val="left"/>
              <w:rPr>
                <w:rFonts w:ascii="楷体" w:hAnsi="楷体" w:eastAsia="楷体" w:cs="楷体"/>
                <w:b/>
                <w:bCs/>
                <w:kern w:val="0"/>
                <w:sz w:val="28"/>
                <w:szCs w:val="28"/>
              </w:rPr>
            </w:pPr>
            <w:r>
              <w:rPr>
                <w:rFonts w:ascii="楷体" w:hAnsi="楷体" w:eastAsia="楷体" w:cs="楷体"/>
                <w:b/>
                <w:bCs/>
                <w:kern w:val="0"/>
                <w:sz w:val="28"/>
                <w:szCs w:val="28"/>
              </w:rPr>
              <w:t>03</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4859639C">
            <w:pPr>
              <w:widowControl/>
              <w:spacing w:line="400" w:lineRule="exact"/>
              <w:jc w:val="left"/>
              <w:rPr>
                <w:rFonts w:ascii="楷体" w:hAnsi="楷体" w:eastAsia="楷体" w:cs="楷体"/>
                <w:b/>
                <w:bCs/>
                <w:kern w:val="0"/>
                <w:sz w:val="28"/>
                <w:szCs w:val="28"/>
              </w:rPr>
            </w:pPr>
            <w:r>
              <w:rPr>
                <w:rFonts w:hint="eastAsia" w:ascii="楷体" w:hAnsi="楷体" w:eastAsia="楷体" w:cs="楷体"/>
                <w:b/>
                <w:bCs/>
                <w:kern w:val="0"/>
                <w:sz w:val="28"/>
                <w:szCs w:val="28"/>
              </w:rPr>
              <w:t>企业用工调剂计划</w:t>
            </w:r>
          </w:p>
        </w:tc>
      </w:tr>
      <w:tr w14:paraId="553BD23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BE07296">
            <w:pPr>
              <w:widowControl/>
              <w:spacing w:line="40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0C0A5B3">
            <w:pPr>
              <w:spacing w:line="400" w:lineRule="exact"/>
              <w:ind w:firstLine="556" w:firstLineChars="200"/>
              <w:rPr>
                <w:rFonts w:ascii="楷体_GB2312" w:hAnsi="仿宋" w:eastAsia="楷体_GB2312"/>
                <w:sz w:val="28"/>
                <w:szCs w:val="28"/>
              </w:rPr>
            </w:pPr>
            <w:r>
              <w:rPr>
                <w:rFonts w:ascii="楷体_GB2312" w:hAnsi="仿宋" w:eastAsia="楷体_GB2312"/>
                <w:sz w:val="28"/>
                <w:szCs w:val="28"/>
              </w:rPr>
              <w:t>支持企业在与职工协商一致的前提下，采取企业间、行业间、产业间用工淡旺季余缺调剂等方式，向缺工地区和企业有组织输送职工。加大服务力度，为企业牵线搭桥，开展职业介绍</w:t>
            </w:r>
            <w:r>
              <w:rPr>
                <w:rFonts w:hint="eastAsia" w:ascii="楷体_GB2312" w:hAnsi="仿宋" w:eastAsia="楷体_GB2312"/>
                <w:sz w:val="28"/>
                <w:szCs w:val="28"/>
              </w:rPr>
              <w:t>和</w:t>
            </w:r>
            <w:r>
              <w:rPr>
                <w:rFonts w:ascii="楷体_GB2312" w:hAnsi="仿宋" w:eastAsia="楷体_GB2312"/>
                <w:sz w:val="28"/>
                <w:szCs w:val="28"/>
              </w:rPr>
              <w:t>余缺调剂。</w:t>
            </w:r>
          </w:p>
        </w:tc>
      </w:tr>
      <w:tr w14:paraId="2D4DC1F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8C984BE">
            <w:pPr>
              <w:widowControl/>
              <w:spacing w:line="400" w:lineRule="exact"/>
              <w:jc w:val="left"/>
              <w:rPr>
                <w:rFonts w:ascii="楷体" w:hAnsi="楷体" w:eastAsia="楷体" w:cs="楷体"/>
                <w:kern w:val="0"/>
                <w:sz w:val="28"/>
                <w:szCs w:val="28"/>
              </w:rPr>
            </w:pPr>
            <w:r>
              <w:rPr>
                <w:rFonts w:ascii="楷体" w:hAnsi="楷体" w:eastAsia="楷体" w:cs="楷体"/>
                <w:b/>
                <w:bCs/>
                <w:kern w:val="0"/>
                <w:sz w:val="28"/>
                <w:szCs w:val="28"/>
              </w:rPr>
              <w:t>04</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E1C149A">
            <w:pPr>
              <w:widowControl/>
              <w:spacing w:line="400" w:lineRule="exact"/>
              <w:jc w:val="left"/>
              <w:rPr>
                <w:rFonts w:ascii="楷体" w:hAnsi="楷体" w:eastAsia="楷体" w:cs="楷体"/>
                <w:sz w:val="28"/>
                <w:szCs w:val="28"/>
              </w:rPr>
            </w:pPr>
            <w:r>
              <w:rPr>
                <w:rFonts w:ascii="楷体" w:hAnsi="楷体" w:eastAsia="楷体" w:cs="楷体"/>
                <w:b/>
                <w:bCs/>
                <w:sz w:val="28"/>
                <w:szCs w:val="28"/>
              </w:rPr>
              <w:t>多渠道灵活就业支持计划</w:t>
            </w:r>
          </w:p>
        </w:tc>
      </w:tr>
      <w:tr w14:paraId="36CFB28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100"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AD16DAB">
            <w:pPr>
              <w:widowControl/>
              <w:spacing w:line="40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0946D95">
            <w:pPr>
              <w:spacing w:line="400" w:lineRule="exact"/>
              <w:ind w:firstLine="556" w:firstLineChars="200"/>
              <w:rPr>
                <w:rFonts w:ascii="楷体_GB2312" w:hAnsi="仿宋" w:eastAsia="楷体_GB2312"/>
                <w:sz w:val="28"/>
                <w:szCs w:val="28"/>
              </w:rPr>
            </w:pPr>
            <w:r>
              <w:rPr>
                <w:rFonts w:ascii="楷体_GB2312" w:hAnsi="仿宋" w:eastAsia="楷体_GB2312"/>
                <w:sz w:val="28"/>
                <w:szCs w:val="28"/>
              </w:rPr>
              <w:t>探索建立新就业形态岗位信息采集和统计监测制度，把供求信息纳入公共就业服务范围，支持人力资源服务机构为灵活就业人员提供招聘、培训、人力资源外包等专业化服务。开展针对性职业培训，提升灵活就业人员技能水平。</w:t>
            </w:r>
          </w:p>
        </w:tc>
      </w:tr>
    </w:tbl>
    <w:p w14:paraId="705F3D59">
      <w:pPr>
        <w:pStyle w:val="3"/>
        <w:spacing w:line="460" w:lineRule="exact"/>
        <w:rPr>
          <w:rFonts w:hint="eastAsia" w:ascii="黑体" w:hAnsi="黑体" w:eastAsia="黑体"/>
          <w:b w:val="0"/>
          <w:bCs w:val="0"/>
          <w:szCs w:val="30"/>
        </w:rPr>
      </w:pPr>
    </w:p>
    <w:p w14:paraId="76D9B459">
      <w:pPr>
        <w:pStyle w:val="3"/>
        <w:spacing w:line="460" w:lineRule="exact"/>
        <w:rPr>
          <w:rFonts w:ascii="黑体" w:hAnsi="黑体" w:eastAsia="黑体"/>
          <w:b w:val="0"/>
          <w:bCs w:val="0"/>
          <w:sz w:val="32"/>
          <w:szCs w:val="32"/>
        </w:rPr>
      </w:pPr>
      <w:r>
        <w:rPr>
          <w:rFonts w:hint="eastAsia" w:ascii="黑体" w:hAnsi="黑体" w:eastAsia="黑体"/>
          <w:b w:val="0"/>
          <w:bCs w:val="0"/>
          <w:sz w:val="32"/>
          <w:szCs w:val="32"/>
        </w:rPr>
        <w:t>第五节 实施技能人才培育行动</w:t>
      </w:r>
    </w:p>
    <w:p w14:paraId="07D15281">
      <w:pPr>
        <w:spacing w:line="460" w:lineRule="exact"/>
        <w:ind w:firstLine="636" w:firstLineChars="200"/>
        <w:jc w:val="center"/>
        <w:rPr>
          <w:rFonts w:ascii="楷体" w:hAnsi="楷体" w:eastAsia="楷体" w:cs="楷体_GB2312"/>
          <w:b/>
          <w:bCs/>
          <w:szCs w:val="32"/>
        </w:rPr>
      </w:pPr>
    </w:p>
    <w:p w14:paraId="5A984B68">
      <w:pPr>
        <w:spacing w:line="600" w:lineRule="exact"/>
        <w:ind w:firstLine="636" w:firstLineChars="200"/>
        <w:rPr>
          <w:rFonts w:hAnsi="仿宋"/>
          <w:szCs w:val="32"/>
        </w:rPr>
      </w:pPr>
      <w:r>
        <w:rPr>
          <w:rFonts w:hint="eastAsia" w:hAnsi="仿宋"/>
          <w:szCs w:val="32"/>
        </w:rPr>
        <w:t>政府相关部门把技能人才作为“人才争夺战”的一项重要内容来抓，进一步加大力度，出台专项性的外地技能人才引育激励政策，加强对外宣传，密切与外地人社局和技工院校联系对接，开辟技能人才输送基地。企业要充分认识技能人才队伍建设的重要性、紧迫性和长远性，并着眼未来发展的高度，切实加强当前技工人才的引进和培育。全社会要大力弘扬劳模精神和工匠精神，营造技师光荣的社会风尚和精益求精的敬业风气，引导人们树立正确的择业导向，吸引并留住更多外来技能人才。</w:t>
      </w:r>
    </w:p>
    <w:p w14:paraId="628F2DF6">
      <w:pPr>
        <w:spacing w:line="600" w:lineRule="exact"/>
        <w:ind w:firstLine="636" w:firstLineChars="200"/>
        <w:rPr>
          <w:rFonts w:hAnsi="仿宋"/>
          <w:szCs w:val="32"/>
        </w:rPr>
      </w:pPr>
      <w:r>
        <w:rPr>
          <w:rFonts w:hint="eastAsia" w:hAnsi="仿宋"/>
          <w:szCs w:val="32"/>
        </w:rPr>
        <w:t>贯彻落实国家、省职业技能培训政策，完善职业技能培训体系，</w:t>
      </w:r>
      <w:r>
        <w:rPr>
          <w:rFonts w:hAnsi="仿宋"/>
          <w:szCs w:val="32"/>
        </w:rPr>
        <w:t>健全终身技能培训制度，持续大规模开展职业技能培训。深入实施职业技能提升行动和</w:t>
      </w:r>
      <w:r>
        <w:rPr>
          <w:rFonts w:hint="eastAsia" w:hAnsi="仿宋"/>
          <w:szCs w:val="32"/>
        </w:rPr>
        <w:t>新生代农民工等</w:t>
      </w:r>
      <w:r>
        <w:rPr>
          <w:rFonts w:hAnsi="仿宋"/>
          <w:szCs w:val="32"/>
        </w:rPr>
        <w:t>重点群体专项培训计划，广泛开展新业态新模式从业人员技能培训</w:t>
      </w:r>
      <w:r>
        <w:rPr>
          <w:rFonts w:hint="eastAsia" w:hAnsi="仿宋"/>
          <w:szCs w:val="32"/>
        </w:rPr>
        <w:t>，提升劳动者整体技能水平。扩大技工院校招生规模，开设我市紧缺急需的专业，加快培养我市新一代信息技术产业、智能制造产业、生物技术产业、新型材料产业、节能环保、海洋经济等紧缺急需技能人才。要紧紧围绕福州经济社会发展重点产业人才需求，组织开展</w:t>
      </w:r>
      <w:r>
        <w:rPr>
          <w:rFonts w:hAnsi="仿宋"/>
          <w:szCs w:val="32"/>
        </w:rPr>
        <w:t>战略性新兴产业、</w:t>
      </w:r>
      <w:r>
        <w:rPr>
          <w:rFonts w:hint="eastAsia" w:hAnsi="仿宋"/>
          <w:szCs w:val="32"/>
        </w:rPr>
        <w:t>文化创意、</w:t>
      </w:r>
      <w:r>
        <w:rPr>
          <w:rFonts w:hAnsi="仿宋"/>
          <w:szCs w:val="32"/>
        </w:rPr>
        <w:t>高端装备制造、装配式建筑、现代服务</w:t>
      </w:r>
      <w:r>
        <w:rPr>
          <w:rFonts w:hint="eastAsia" w:hAnsi="仿宋"/>
          <w:szCs w:val="32"/>
        </w:rPr>
        <w:t>等重点产业技能人才培养工程，加强行业交流，开展核心紧缺岗位（工种）技能培训，持续培养企业急需的高素质技能人才。</w:t>
      </w:r>
      <w:r>
        <w:rPr>
          <w:rFonts w:hAnsi="仿宋"/>
          <w:szCs w:val="32"/>
        </w:rPr>
        <w:t>放宽企业职工申领技能补贴的条件，通过多渠道、多方式提供有针对性的培训，不断提高</w:t>
      </w:r>
      <w:r>
        <w:rPr>
          <w:rFonts w:hint="eastAsia" w:hAnsi="仿宋"/>
          <w:szCs w:val="32"/>
        </w:rPr>
        <w:t>城乡</w:t>
      </w:r>
      <w:r>
        <w:rPr>
          <w:rFonts w:hAnsi="仿宋"/>
          <w:szCs w:val="32"/>
        </w:rPr>
        <w:t>劳动者就业创业的能力。</w:t>
      </w:r>
    </w:p>
    <w:p w14:paraId="0101F6D2">
      <w:pPr>
        <w:spacing w:line="600" w:lineRule="exact"/>
        <w:ind w:firstLine="636" w:firstLineChars="200"/>
        <w:rPr>
          <w:rFonts w:hint="eastAsia" w:hAnsi="仿宋_GB2312" w:cs="仿宋_GB2312"/>
          <w:szCs w:val="32"/>
        </w:rPr>
      </w:pPr>
      <w:r>
        <w:rPr>
          <w:rFonts w:hint="eastAsia" w:hAnsi="仿宋_GB2312" w:cs="仿宋_GB2312"/>
          <w:szCs w:val="32"/>
        </w:rPr>
        <w:t>推动建立项目统筹、标准统一、管理规范、覆盖城乡的大培训机制，全面实行“企业、行业、产业需求+政府引导+机构、行业协会自主培训”模式，全面推进企业新型学徒制，推动建立“校企双师”联合培养制度。根据国家、省部署进一步改革完善职业资格制度，规范职业资格管理，畅通劳动者职业技能发展通道。支持行业协会发挥桥梁纽带作用，牵头开展行业技能培训、技能竞赛，带动企业职业技能水平提升。</w:t>
      </w:r>
    </w:p>
    <w:p w14:paraId="0A13A602">
      <w:pPr>
        <w:spacing w:line="600" w:lineRule="exact"/>
        <w:ind w:firstLine="636" w:firstLineChars="200"/>
        <w:rPr>
          <w:rFonts w:hint="eastAsia" w:hAnsi="仿宋_GB2312" w:cs="仿宋_GB2312"/>
          <w:szCs w:val="32"/>
        </w:rPr>
      </w:pPr>
      <w:r>
        <w:rPr>
          <w:rFonts w:hint="eastAsia" w:hAnsi="仿宋_GB2312" w:cs="仿宋_GB2312"/>
          <w:szCs w:val="32"/>
        </w:rPr>
        <w:t>在标准化建设条件下，依托各工业园区加大社会化的技能培训基地和培训中心建设，有效增加技能培训供给能力。鼓励职业技工院校、深化产教融合，培育一批产业学院、高水平专业化产教融合实训基地、具有品牌影响力的社会职业培训机构和技工院校。将福州第一技师学院等技工院校打造成集技工教育、公共实训、技师研修、竞赛集训、技能评价、就业服务等功能于一体的综合性的高技能培训基地。</w:t>
      </w:r>
    </w:p>
    <w:p w14:paraId="56E77157">
      <w:pPr>
        <w:pStyle w:val="22"/>
      </w:pPr>
    </w:p>
    <w:p w14:paraId="2ABCAA4B">
      <w:pPr>
        <w:spacing w:line="460" w:lineRule="exact"/>
        <w:ind w:firstLine="596" w:firstLineChars="200"/>
        <w:jc w:val="center"/>
        <w:rPr>
          <w:rFonts w:ascii="仿宋" w:hAnsi="仿宋" w:eastAsia="仿宋"/>
          <w:b/>
          <w:sz w:val="30"/>
          <w:szCs w:val="30"/>
        </w:rPr>
      </w:pPr>
      <w:r>
        <w:rPr>
          <w:rFonts w:hint="eastAsia" w:ascii="仿宋" w:hAnsi="仿宋" w:eastAsia="仿宋"/>
          <w:b/>
          <w:sz w:val="30"/>
          <w:szCs w:val="30"/>
        </w:rPr>
        <w:t>专栏4：实施技能人才培育行动四大工程</w:t>
      </w:r>
    </w:p>
    <w:tbl>
      <w:tblPr>
        <w:tblStyle w:val="16"/>
        <w:tblW w:w="8592"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540"/>
        <w:gridCol w:w="8052"/>
      </w:tblGrid>
      <w:tr w14:paraId="339638B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111D301">
            <w:pPr>
              <w:widowControl/>
              <w:spacing w:line="340" w:lineRule="exact"/>
              <w:jc w:val="left"/>
              <w:rPr>
                <w:rFonts w:ascii="楷体" w:hAnsi="楷体" w:eastAsia="楷体" w:cs="楷体"/>
                <w:kern w:val="0"/>
                <w:sz w:val="28"/>
                <w:szCs w:val="28"/>
              </w:rPr>
            </w:pPr>
            <w:r>
              <w:rPr>
                <w:rFonts w:hint="eastAsia" w:ascii="楷体" w:hAnsi="楷体" w:eastAsia="楷体" w:cs="楷体"/>
                <w:b/>
                <w:bCs/>
                <w:kern w:val="0"/>
                <w:sz w:val="28"/>
                <w:szCs w:val="28"/>
              </w:rPr>
              <w:t>01</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0C8BA59">
            <w:pPr>
              <w:widowControl/>
              <w:spacing w:line="340" w:lineRule="exact"/>
              <w:jc w:val="left"/>
              <w:rPr>
                <w:rFonts w:ascii="楷体" w:hAnsi="楷体" w:eastAsia="楷体" w:cs="楷体"/>
                <w:kern w:val="0"/>
                <w:sz w:val="28"/>
                <w:szCs w:val="28"/>
              </w:rPr>
            </w:pPr>
            <w:r>
              <w:rPr>
                <w:rFonts w:hint="eastAsia" w:ascii="楷体" w:hAnsi="楷体" w:eastAsia="楷体" w:cs="楷体"/>
                <w:b/>
                <w:bCs/>
                <w:sz w:val="28"/>
                <w:szCs w:val="28"/>
              </w:rPr>
              <w:t>外地技工定向输入工程</w:t>
            </w:r>
          </w:p>
        </w:tc>
      </w:tr>
      <w:tr w14:paraId="402AF05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79"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2A9234C">
            <w:pPr>
              <w:widowControl/>
              <w:spacing w:line="340" w:lineRule="exact"/>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B6C6D78">
            <w:pPr>
              <w:widowControl/>
              <w:spacing w:line="340" w:lineRule="exact"/>
              <w:jc w:val="left"/>
              <w:rPr>
                <w:rFonts w:ascii="楷体_GB2312" w:hAnsi="仿宋" w:eastAsia="楷体_GB2312"/>
                <w:sz w:val="28"/>
                <w:szCs w:val="28"/>
              </w:rPr>
            </w:pPr>
            <w:r>
              <w:rPr>
                <w:rFonts w:hint="eastAsia" w:ascii="楷体_GB2312" w:hAnsi="仿宋" w:eastAsia="楷体_GB2312"/>
                <w:sz w:val="28"/>
                <w:szCs w:val="28"/>
              </w:rPr>
              <w:t>政府相关部门把技能人才作为“人才争夺战”的一项重要内容来抓，进一步加大力度，出台专项性的外地技能人才引育激励政策，加强对外宣传，密切与外地人社局和技工院校联系对接，开辟外地技能人才输送基地。</w:t>
            </w:r>
          </w:p>
        </w:tc>
      </w:tr>
      <w:tr w14:paraId="342D361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2106D99">
            <w:pPr>
              <w:widowControl/>
              <w:spacing w:line="340" w:lineRule="exact"/>
              <w:jc w:val="left"/>
              <w:rPr>
                <w:rFonts w:ascii="楷体" w:hAnsi="楷体" w:eastAsia="楷体" w:cs="楷体"/>
                <w:kern w:val="0"/>
                <w:sz w:val="28"/>
                <w:szCs w:val="28"/>
              </w:rPr>
            </w:pPr>
            <w:r>
              <w:rPr>
                <w:rFonts w:hint="eastAsia" w:ascii="楷体" w:hAnsi="楷体" w:eastAsia="楷体" w:cs="楷体"/>
                <w:b/>
                <w:bCs/>
                <w:kern w:val="0"/>
                <w:sz w:val="28"/>
                <w:szCs w:val="28"/>
              </w:rPr>
              <w:t>02</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3C8E603">
            <w:pPr>
              <w:widowControl/>
              <w:spacing w:line="340" w:lineRule="exact"/>
              <w:jc w:val="left"/>
              <w:rPr>
                <w:rFonts w:ascii="楷体" w:hAnsi="楷体" w:eastAsia="楷体" w:cs="楷体"/>
                <w:kern w:val="0"/>
                <w:sz w:val="28"/>
                <w:szCs w:val="28"/>
              </w:rPr>
            </w:pPr>
            <w:r>
              <w:rPr>
                <w:rFonts w:hint="eastAsia" w:ascii="楷体" w:hAnsi="楷体" w:eastAsia="楷体" w:cs="楷体"/>
                <w:b/>
                <w:bCs/>
                <w:sz w:val="28"/>
                <w:szCs w:val="28"/>
              </w:rPr>
              <w:t>本地技能人才培训提升工程</w:t>
            </w:r>
          </w:p>
        </w:tc>
      </w:tr>
      <w:tr w14:paraId="2A00D6B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92"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49568481">
            <w:pPr>
              <w:widowControl/>
              <w:spacing w:line="340" w:lineRule="exact"/>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45EB5DD">
            <w:pPr>
              <w:widowControl/>
              <w:spacing w:line="340" w:lineRule="exact"/>
              <w:jc w:val="left"/>
              <w:rPr>
                <w:rFonts w:hAnsi="仿宋"/>
                <w:sz w:val="30"/>
                <w:szCs w:val="30"/>
              </w:rPr>
            </w:pPr>
            <w:r>
              <w:rPr>
                <w:rFonts w:hint="eastAsia" w:ascii="楷体_GB2312" w:hAnsi="仿宋" w:eastAsia="楷体_GB2312"/>
                <w:sz w:val="28"/>
                <w:szCs w:val="28"/>
              </w:rPr>
              <w:t>贯彻落实国家、省职业技能培训政策，完善职业技能培训体系，</w:t>
            </w:r>
            <w:r>
              <w:rPr>
                <w:rFonts w:ascii="楷体_GB2312" w:hAnsi="仿宋" w:eastAsia="楷体_GB2312"/>
                <w:sz w:val="28"/>
                <w:szCs w:val="28"/>
              </w:rPr>
              <w:t>健全终身技能培训制度，持续大规模开展职业技能培训。深入实施职业技能提升行动和</w:t>
            </w:r>
            <w:r>
              <w:rPr>
                <w:rFonts w:hint="eastAsia" w:ascii="楷体_GB2312" w:hAnsi="仿宋" w:eastAsia="楷体_GB2312"/>
                <w:sz w:val="28"/>
                <w:szCs w:val="28"/>
              </w:rPr>
              <w:t>新生代农民工等</w:t>
            </w:r>
            <w:r>
              <w:rPr>
                <w:rFonts w:ascii="楷体_GB2312" w:hAnsi="仿宋" w:eastAsia="楷体_GB2312"/>
                <w:sz w:val="28"/>
                <w:szCs w:val="28"/>
              </w:rPr>
              <w:t>重点群体专项培训计划，广泛开展新业态新模式从业人员技能培训</w:t>
            </w:r>
            <w:r>
              <w:rPr>
                <w:rFonts w:hint="eastAsia" w:ascii="楷体_GB2312" w:hAnsi="仿宋" w:eastAsia="楷体_GB2312"/>
                <w:sz w:val="28"/>
                <w:szCs w:val="28"/>
              </w:rPr>
              <w:t>，提升劳动者整体技能水平。扩大技工院校招生规模，开设我市紧缺急需的专业，持续培养企业急需的高素质技能人才。</w:t>
            </w:r>
          </w:p>
        </w:tc>
      </w:tr>
      <w:tr w14:paraId="7438355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69"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DD742E2">
            <w:pPr>
              <w:widowControl/>
              <w:spacing w:line="340" w:lineRule="exact"/>
              <w:jc w:val="left"/>
              <w:rPr>
                <w:rFonts w:ascii="楷体" w:hAnsi="楷体" w:eastAsia="楷体" w:cs="楷体"/>
                <w:kern w:val="0"/>
                <w:sz w:val="28"/>
                <w:szCs w:val="28"/>
              </w:rPr>
            </w:pPr>
            <w:r>
              <w:rPr>
                <w:rFonts w:hint="eastAsia" w:ascii="楷体" w:hAnsi="楷体" w:eastAsia="楷体" w:cs="楷体"/>
                <w:b/>
                <w:bCs/>
                <w:kern w:val="0"/>
                <w:sz w:val="28"/>
                <w:szCs w:val="28"/>
              </w:rPr>
              <w:t>03</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6438E28">
            <w:pPr>
              <w:widowControl/>
              <w:spacing w:line="340" w:lineRule="exact"/>
              <w:jc w:val="left"/>
              <w:rPr>
                <w:rFonts w:ascii="楷体" w:hAnsi="楷体" w:eastAsia="楷体" w:cs="楷体"/>
                <w:sz w:val="28"/>
                <w:szCs w:val="28"/>
              </w:rPr>
            </w:pPr>
            <w:r>
              <w:rPr>
                <w:rFonts w:hint="eastAsia" w:ascii="楷体" w:hAnsi="楷体" w:eastAsia="楷体" w:cs="楷体"/>
                <w:b/>
                <w:bCs/>
                <w:sz w:val="28"/>
                <w:szCs w:val="28"/>
              </w:rPr>
              <w:t>计划经济培训模式转向工程</w:t>
            </w:r>
          </w:p>
        </w:tc>
      </w:tr>
      <w:tr w14:paraId="2E4877C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0169413">
            <w:pPr>
              <w:widowControl/>
              <w:spacing w:line="340" w:lineRule="exact"/>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50AD22A">
            <w:pPr>
              <w:widowControl/>
              <w:spacing w:line="340" w:lineRule="exact"/>
              <w:jc w:val="left"/>
              <w:rPr>
                <w:rFonts w:ascii="楷体_GB2312" w:hAnsi="仿宋" w:eastAsia="楷体_GB2312"/>
                <w:sz w:val="28"/>
                <w:szCs w:val="28"/>
              </w:rPr>
            </w:pPr>
            <w:r>
              <w:rPr>
                <w:rFonts w:hint="eastAsia" w:ascii="楷体_GB2312" w:hAnsi="仿宋" w:eastAsia="楷体_GB2312"/>
                <w:sz w:val="28"/>
                <w:szCs w:val="28"/>
              </w:rPr>
              <w:t>推动建立项目统筹、标准统一、管理规范、覆盖城乡的大培训机制，全面实行“企业、行业、产业需求+政府引导+机构、行业协会自主培训”模式，全面推进企业新型学徒制，推动建立“校企双师”联合培养制度。</w:t>
            </w:r>
          </w:p>
        </w:tc>
      </w:tr>
      <w:tr w14:paraId="20A9466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9A38882">
            <w:pPr>
              <w:widowControl/>
              <w:spacing w:line="340" w:lineRule="exact"/>
              <w:jc w:val="left"/>
              <w:rPr>
                <w:rFonts w:ascii="楷体" w:hAnsi="楷体" w:eastAsia="楷体" w:cs="楷体"/>
                <w:kern w:val="0"/>
                <w:sz w:val="28"/>
                <w:szCs w:val="28"/>
              </w:rPr>
            </w:pPr>
            <w:r>
              <w:rPr>
                <w:rFonts w:hint="eastAsia" w:ascii="楷体" w:hAnsi="楷体" w:eastAsia="楷体" w:cs="楷体"/>
                <w:b/>
                <w:bCs/>
                <w:kern w:val="0"/>
                <w:sz w:val="28"/>
                <w:szCs w:val="28"/>
              </w:rPr>
              <w:t>04</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485062ED">
            <w:pPr>
              <w:widowControl/>
              <w:spacing w:line="340" w:lineRule="exact"/>
              <w:jc w:val="left"/>
              <w:rPr>
                <w:rFonts w:ascii="楷体" w:hAnsi="楷体" w:eastAsia="楷体" w:cs="楷体"/>
                <w:sz w:val="28"/>
                <w:szCs w:val="28"/>
              </w:rPr>
            </w:pPr>
            <w:r>
              <w:rPr>
                <w:rFonts w:hint="eastAsia" w:ascii="楷体" w:hAnsi="楷体" w:eastAsia="楷体" w:cs="楷体"/>
                <w:b/>
                <w:bCs/>
                <w:sz w:val="28"/>
                <w:szCs w:val="28"/>
              </w:rPr>
              <w:t>技能培训基地建设工程</w:t>
            </w:r>
          </w:p>
        </w:tc>
      </w:tr>
      <w:tr w14:paraId="1DE5EB5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2B1A5803">
            <w:pPr>
              <w:widowControl/>
              <w:spacing w:line="340" w:lineRule="exact"/>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3457039">
            <w:pPr>
              <w:widowControl/>
              <w:spacing w:line="340" w:lineRule="exact"/>
              <w:jc w:val="left"/>
              <w:rPr>
                <w:rFonts w:ascii="楷体_GB2312" w:hAnsi="仿宋" w:eastAsia="楷体_GB2312"/>
                <w:sz w:val="28"/>
                <w:szCs w:val="28"/>
              </w:rPr>
            </w:pPr>
            <w:r>
              <w:rPr>
                <w:rFonts w:hint="eastAsia" w:ascii="楷体_GB2312" w:hAnsi="仿宋" w:eastAsia="楷体_GB2312"/>
                <w:sz w:val="28"/>
                <w:szCs w:val="28"/>
              </w:rPr>
              <w:t>在标准化建设条件下，加大社会化的技能培训基地和培训中心建设，有效增加技能培训供给能力。</w:t>
            </w:r>
          </w:p>
        </w:tc>
      </w:tr>
    </w:tbl>
    <w:p w14:paraId="7EB03A68">
      <w:pPr>
        <w:pStyle w:val="3"/>
        <w:spacing w:line="540" w:lineRule="exact"/>
        <w:rPr>
          <w:rFonts w:hint="eastAsia" w:ascii="黑体" w:hAnsi="黑体" w:eastAsia="黑体"/>
          <w:b w:val="0"/>
          <w:bCs w:val="0"/>
          <w:sz w:val="32"/>
          <w:szCs w:val="32"/>
        </w:rPr>
      </w:pPr>
    </w:p>
    <w:p w14:paraId="0FAF1588">
      <w:pPr>
        <w:pStyle w:val="3"/>
        <w:spacing w:line="540" w:lineRule="exact"/>
        <w:rPr>
          <w:rFonts w:ascii="黑体" w:hAnsi="黑体" w:eastAsia="黑体"/>
          <w:b w:val="0"/>
          <w:bCs w:val="0"/>
          <w:sz w:val="32"/>
          <w:szCs w:val="32"/>
        </w:rPr>
      </w:pPr>
      <w:r>
        <w:rPr>
          <w:rFonts w:hint="eastAsia" w:ascii="黑体" w:hAnsi="黑体" w:eastAsia="黑体"/>
          <w:b w:val="0"/>
          <w:bCs w:val="0"/>
          <w:sz w:val="32"/>
          <w:szCs w:val="32"/>
        </w:rPr>
        <w:t>第四章 完善覆盖全民的社会保障体系</w:t>
      </w:r>
    </w:p>
    <w:p w14:paraId="5481644D">
      <w:pPr>
        <w:spacing w:line="540" w:lineRule="exact"/>
        <w:ind w:firstLine="596" w:firstLineChars="200"/>
        <w:rPr>
          <w:rFonts w:hAnsi="仿宋"/>
          <w:sz w:val="30"/>
          <w:szCs w:val="30"/>
        </w:rPr>
      </w:pPr>
    </w:p>
    <w:p w14:paraId="32D2D97E">
      <w:pPr>
        <w:widowControl w:val="0"/>
        <w:shd w:val="clear" w:color="auto" w:fill="auto"/>
        <w:spacing w:line="600" w:lineRule="exact"/>
        <w:ind w:firstLine="636" w:firstLineChars="200"/>
        <w:jc w:val="both"/>
        <w:rPr>
          <w:rFonts w:hAnsi="仿宋"/>
          <w:sz w:val="30"/>
          <w:szCs w:val="30"/>
        </w:rPr>
      </w:pPr>
      <w:r>
        <w:rPr>
          <w:rFonts w:hint="eastAsia" w:hAnsi="仿宋"/>
          <w:szCs w:val="32"/>
        </w:rPr>
        <w:t>按照“兜底线、织密网、建机制”的要求，着眼全面建成覆盖全民、统筹城乡、权责清晰、保障适度、可持续的多层次社会保障体系，建立更加公平更可持续的社会保障制度，扩大社会保险覆盖面，提高社会保险待遇水平，强化基金监管和服务，全面提高社会保障水平，促进经济持续健康发展和社会和谐稳定。</w:t>
      </w:r>
    </w:p>
    <w:p w14:paraId="541A39D6">
      <w:pPr>
        <w:pStyle w:val="3"/>
        <w:spacing w:line="540" w:lineRule="exact"/>
        <w:rPr>
          <w:rFonts w:ascii="黑体" w:hAnsi="黑体" w:eastAsia="黑体"/>
          <w:b w:val="0"/>
          <w:bCs w:val="0"/>
          <w:sz w:val="32"/>
          <w:szCs w:val="32"/>
        </w:rPr>
      </w:pPr>
      <w:r>
        <w:rPr>
          <w:rFonts w:hint="eastAsia" w:ascii="黑体" w:hAnsi="黑体" w:eastAsia="黑体"/>
          <w:b w:val="0"/>
          <w:bCs w:val="0"/>
          <w:sz w:val="32"/>
          <w:szCs w:val="32"/>
        </w:rPr>
        <w:t>第一节 坚持和完善统筹城乡的社会保障制度</w:t>
      </w:r>
    </w:p>
    <w:p w14:paraId="235A6DFC">
      <w:pPr>
        <w:spacing w:line="540" w:lineRule="exact"/>
        <w:ind w:left="1080"/>
        <w:rPr>
          <w:rFonts w:ascii="仿宋" w:hAnsi="仿宋" w:eastAsia="仿宋"/>
          <w:b/>
          <w:sz w:val="30"/>
          <w:szCs w:val="30"/>
        </w:rPr>
      </w:pPr>
    </w:p>
    <w:p w14:paraId="51990A72">
      <w:pPr>
        <w:spacing w:line="600" w:lineRule="exact"/>
        <w:ind w:firstLine="636" w:firstLineChars="200"/>
        <w:rPr>
          <w:rFonts w:hint="eastAsia" w:hAnsi="仿宋"/>
          <w:szCs w:val="32"/>
        </w:rPr>
      </w:pPr>
      <w:r>
        <w:rPr>
          <w:rFonts w:hint="eastAsia" w:hAnsi="仿宋"/>
          <w:szCs w:val="32"/>
        </w:rPr>
        <w:t>加强社会保障制度建设的统筹协调，落实上级要求，结合我市实际，不断健全完善社会保障制度，促进城乡居民更加公平享有社会保障权益。按照省里部署，对接企业职工养老保险全国统筹，逐步提高缴费基数下限，落实渐进式延迟法定退休年龄政策，相应逐步提高领取基本养老金最低缴费年限。继续推动机关事业单位养老保险制度改革，加快完善配套政策。完善城乡居民基本养老保险制度，逐步提高最低缴费档次，根据国家统一部署逐步推进个人账户基金省级管理和委托投资运营。完善被征地农民养老保险政策。完善失业保险制度，建立失业保险金标准与最低工资标准挂钩联动制度，落实好失业保险基金省级统筹制度。积极推进工伤预防与工伤康复，探索落实灵活就业、非全日制用工等人员的职业伤害保障制度，依法规范工伤认定和劳动能力鉴定工作。完善社会保险转移接续政策，实行更加便捷的社会保险转移接续办法。</w:t>
      </w:r>
    </w:p>
    <w:p w14:paraId="73D898F1">
      <w:pPr>
        <w:pStyle w:val="2"/>
      </w:pPr>
    </w:p>
    <w:p w14:paraId="5CB9D509">
      <w:pPr>
        <w:pStyle w:val="3"/>
        <w:spacing w:line="480" w:lineRule="exact"/>
        <w:rPr>
          <w:rFonts w:ascii="黑体" w:hAnsi="黑体" w:eastAsia="黑体"/>
          <w:b w:val="0"/>
          <w:bCs w:val="0"/>
          <w:sz w:val="32"/>
          <w:szCs w:val="32"/>
        </w:rPr>
      </w:pPr>
      <w:r>
        <w:rPr>
          <w:rFonts w:hint="eastAsia" w:ascii="黑体" w:hAnsi="黑体" w:eastAsia="黑体"/>
          <w:b w:val="0"/>
          <w:bCs w:val="0"/>
          <w:sz w:val="32"/>
          <w:szCs w:val="32"/>
        </w:rPr>
        <w:t>第二节 推进社会保障全民覆盖</w:t>
      </w:r>
    </w:p>
    <w:p w14:paraId="2D99FD91">
      <w:pPr>
        <w:widowControl/>
        <w:shd w:val="clear" w:color="auto" w:fill="FFFFFF"/>
        <w:spacing w:line="480" w:lineRule="exact"/>
        <w:ind w:firstLine="596" w:firstLineChars="200"/>
        <w:jc w:val="left"/>
        <w:rPr>
          <w:rFonts w:hAnsi="仿宋"/>
          <w:sz w:val="30"/>
          <w:szCs w:val="30"/>
        </w:rPr>
      </w:pPr>
    </w:p>
    <w:p w14:paraId="4D97F977">
      <w:pPr>
        <w:spacing w:line="640" w:lineRule="exact"/>
        <w:ind w:firstLine="636" w:firstLineChars="200"/>
        <w:rPr>
          <w:rFonts w:hAnsi="仿宋"/>
          <w:szCs w:val="32"/>
        </w:rPr>
      </w:pPr>
      <w:r>
        <w:rPr>
          <w:rFonts w:hint="eastAsia" w:hAnsi="仿宋"/>
          <w:szCs w:val="32"/>
        </w:rPr>
        <w:t>坚持应保尽保原则，推动</w:t>
      </w:r>
      <w:r>
        <w:rPr>
          <w:rFonts w:hAnsi="仿宋"/>
          <w:szCs w:val="32"/>
        </w:rPr>
        <w:t>实现城镇职工基本养老保险由制度全覆盖到法定人群全覆盖</w:t>
      </w:r>
      <w:r>
        <w:rPr>
          <w:rFonts w:hint="eastAsia" w:hAnsi="仿宋"/>
          <w:szCs w:val="32"/>
        </w:rPr>
        <w:t>，</w:t>
      </w:r>
      <w:r>
        <w:rPr>
          <w:rFonts w:hAnsi="仿宋"/>
          <w:szCs w:val="32"/>
        </w:rPr>
        <w:t>积极促进</w:t>
      </w:r>
      <w:r>
        <w:rPr>
          <w:rFonts w:hint="eastAsia" w:hAnsi="仿宋"/>
          <w:szCs w:val="32"/>
        </w:rPr>
        <w:t>城乡居民适龄人员参加基本养老保险，重点推动灵活就业人员、新业态从业人员、社会组织从业人员、农民工等群体纳入相应的社会保障体系，</w:t>
      </w:r>
      <w:r>
        <w:rPr>
          <w:rFonts w:hAnsi="仿宋"/>
          <w:szCs w:val="32"/>
        </w:rPr>
        <w:t>推进失业保险向职业劳动者广覆盖，实现省级统筹。</w:t>
      </w:r>
      <w:r>
        <w:rPr>
          <w:rFonts w:hint="eastAsia" w:hAnsi="仿宋"/>
          <w:szCs w:val="32"/>
        </w:rPr>
        <w:t>对全民参保数据实行动态管理，动态精准锁定未参保人员和中断缴费人员，分类施策，精准扩面。深入贯彻《工伤保险条例》，持续向建设工程领域、中小微企业和有雇工的个体工商户全面推进，实现法定职业人员纳入工伤保险保障范围。</w:t>
      </w:r>
    </w:p>
    <w:p w14:paraId="7293C5C5">
      <w:pPr>
        <w:pStyle w:val="2"/>
        <w:spacing w:after="0" w:line="240" w:lineRule="exact"/>
        <w:ind w:firstLine="634"/>
      </w:pPr>
    </w:p>
    <w:p w14:paraId="05E1E53E">
      <w:pPr>
        <w:spacing w:line="460" w:lineRule="exact"/>
        <w:jc w:val="center"/>
        <w:rPr>
          <w:rFonts w:hAnsi="仿宋" w:eastAsia="仿宋"/>
          <w:sz w:val="30"/>
          <w:szCs w:val="30"/>
        </w:rPr>
      </w:pPr>
      <w:r>
        <w:rPr>
          <w:rFonts w:hint="eastAsia" w:ascii="仿宋" w:hAnsi="仿宋" w:eastAsia="仿宋"/>
          <w:b/>
          <w:sz w:val="30"/>
          <w:szCs w:val="30"/>
        </w:rPr>
        <w:t>专栏5：全面实施全民参保计划</w:t>
      </w:r>
    </w:p>
    <w:tbl>
      <w:tblPr>
        <w:tblStyle w:val="16"/>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3"/>
      </w:tblGrid>
      <w:tr w14:paraId="0F17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3" w:type="dxa"/>
          </w:tcPr>
          <w:p w14:paraId="4105BCA4">
            <w:pPr>
              <w:spacing w:line="400" w:lineRule="exact"/>
              <w:ind w:firstLine="556" w:firstLineChars="200"/>
              <w:rPr>
                <w:rFonts w:ascii="楷体_GB2312" w:hAnsi="仿宋" w:eastAsia="楷体_GB2312"/>
                <w:sz w:val="28"/>
                <w:szCs w:val="28"/>
              </w:rPr>
            </w:pPr>
            <w:r>
              <w:rPr>
                <w:rFonts w:hint="eastAsia" w:ascii="楷体_GB2312" w:hAnsi="仿宋" w:eastAsia="楷体_GB2312"/>
                <w:sz w:val="28"/>
                <w:szCs w:val="28"/>
              </w:rPr>
              <w:t>在“十三五”时期启动实施全民参保计划工作基础上，按照党的十九大提出的“全面实施全民参保计划”，强调“全面”两字，推动实现法定人群全覆盖；对全民参保数据实行动态管理，动态精准锁定未参保人员和中断缴费人员，分类施策，精准扩面。</w:t>
            </w:r>
          </w:p>
        </w:tc>
      </w:tr>
    </w:tbl>
    <w:p w14:paraId="603F86A4">
      <w:pPr>
        <w:spacing w:line="460" w:lineRule="exact"/>
        <w:ind w:firstLine="596" w:firstLineChars="200"/>
        <w:jc w:val="center"/>
        <w:rPr>
          <w:rFonts w:ascii="仿宋" w:hAnsi="仿宋" w:eastAsia="仿宋"/>
          <w:b/>
          <w:sz w:val="30"/>
          <w:szCs w:val="30"/>
        </w:rPr>
      </w:pPr>
    </w:p>
    <w:p w14:paraId="62702757">
      <w:pPr>
        <w:spacing w:line="460" w:lineRule="exact"/>
        <w:jc w:val="center"/>
        <w:rPr>
          <w:rFonts w:ascii="仿宋" w:hAnsi="仿宋" w:eastAsia="仿宋"/>
          <w:b/>
          <w:sz w:val="30"/>
          <w:szCs w:val="30"/>
        </w:rPr>
      </w:pPr>
      <w:r>
        <w:rPr>
          <w:rFonts w:ascii="仿宋" w:hAnsi="仿宋" w:eastAsia="仿宋"/>
          <w:b/>
          <w:sz w:val="30"/>
          <w:szCs w:val="30"/>
        </w:rPr>
        <w:t>专栏6：新业态</w:t>
      </w:r>
      <w:r>
        <w:rPr>
          <w:rFonts w:hint="eastAsia" w:ascii="仿宋" w:hAnsi="仿宋" w:eastAsia="仿宋"/>
          <w:b/>
          <w:sz w:val="30"/>
          <w:szCs w:val="30"/>
        </w:rPr>
        <w:t>从业</w:t>
      </w:r>
      <w:r>
        <w:rPr>
          <w:rFonts w:ascii="仿宋" w:hAnsi="仿宋" w:eastAsia="仿宋"/>
          <w:b/>
          <w:sz w:val="30"/>
          <w:szCs w:val="30"/>
        </w:rPr>
        <w:t>人员参保促进行动</w:t>
      </w:r>
    </w:p>
    <w:tbl>
      <w:tblPr>
        <w:tblStyle w:val="16"/>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0"/>
      </w:tblGrid>
      <w:tr w14:paraId="1299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8800" w:type="dxa"/>
            <w:tcBorders>
              <w:top w:val="single" w:color="auto" w:sz="4" w:space="0"/>
              <w:left w:val="single" w:color="auto" w:sz="4" w:space="0"/>
              <w:bottom w:val="single" w:color="auto" w:sz="4" w:space="0"/>
              <w:right w:val="single" w:color="auto" w:sz="4" w:space="0"/>
            </w:tcBorders>
          </w:tcPr>
          <w:p w14:paraId="34F3FD63">
            <w:pPr>
              <w:spacing w:line="400" w:lineRule="exact"/>
              <w:ind w:firstLine="556" w:firstLineChars="200"/>
              <w:rPr>
                <w:rFonts w:ascii="楷体_GB2312" w:hAnsi="仿宋" w:eastAsia="楷体_GB2312"/>
                <w:sz w:val="28"/>
                <w:szCs w:val="28"/>
              </w:rPr>
            </w:pPr>
            <w:r>
              <w:rPr>
                <w:rFonts w:hint="eastAsia" w:ascii="楷体_GB2312" w:hAnsi="仿宋" w:eastAsia="楷体_GB2312"/>
                <w:sz w:val="28"/>
                <w:szCs w:val="28"/>
              </w:rPr>
              <w:t>积极</w:t>
            </w:r>
            <w:r>
              <w:rPr>
                <w:rFonts w:ascii="楷体_GB2312" w:hAnsi="仿宋" w:eastAsia="楷体_GB2312"/>
                <w:sz w:val="28"/>
                <w:szCs w:val="28"/>
              </w:rPr>
              <w:t>落实适应新业态从业人员特点的参保缴费办法，维护从业人员的合法权益。</w:t>
            </w:r>
            <w:r>
              <w:rPr>
                <w:rFonts w:hint="eastAsia" w:ascii="楷体_GB2312" w:hAnsi="仿宋" w:eastAsia="楷体_GB2312"/>
                <w:sz w:val="28"/>
                <w:szCs w:val="28"/>
              </w:rPr>
              <w:t>支持灵活就业的新就业形态从业人员以个人身份在公共服务平台办理企业职工基本养老保险参保登记申请、个人权益记录查询、社会保险关系转移接续申请等业务。深入贯彻《工伤保险条例》</w:t>
            </w:r>
            <w:r>
              <w:rPr>
                <w:rFonts w:ascii="楷体_GB2312" w:hAnsi="仿宋" w:eastAsia="楷体_GB2312"/>
                <w:sz w:val="28"/>
                <w:szCs w:val="28"/>
              </w:rPr>
              <w:t>，保障新业态从业人员职业伤害权益。</w:t>
            </w:r>
          </w:p>
        </w:tc>
      </w:tr>
    </w:tbl>
    <w:p w14:paraId="7F72B3F6">
      <w:pPr>
        <w:spacing w:line="460" w:lineRule="exact"/>
        <w:ind w:firstLine="636" w:firstLineChars="200"/>
        <w:rPr>
          <w:rFonts w:eastAsia="方正仿宋_GBK"/>
          <w:bCs/>
          <w:kern w:val="0"/>
          <w:szCs w:val="32"/>
        </w:rPr>
      </w:pPr>
    </w:p>
    <w:p w14:paraId="676DEBED">
      <w:pPr>
        <w:pStyle w:val="3"/>
        <w:spacing w:line="540" w:lineRule="exact"/>
        <w:rPr>
          <w:rFonts w:ascii="黑体" w:hAnsi="黑体" w:eastAsia="黑体"/>
          <w:b w:val="0"/>
          <w:bCs w:val="0"/>
          <w:sz w:val="32"/>
          <w:szCs w:val="32"/>
        </w:rPr>
      </w:pPr>
      <w:r>
        <w:rPr>
          <w:rFonts w:hint="eastAsia" w:ascii="黑体" w:hAnsi="黑体" w:eastAsia="黑体"/>
          <w:b w:val="0"/>
          <w:bCs w:val="0"/>
          <w:sz w:val="32"/>
          <w:szCs w:val="32"/>
        </w:rPr>
        <w:t>第三节 构建多层次的社会保障体系</w:t>
      </w:r>
    </w:p>
    <w:p w14:paraId="2F4E3139">
      <w:pPr>
        <w:spacing w:line="540" w:lineRule="exact"/>
        <w:ind w:firstLine="636" w:firstLineChars="200"/>
        <w:rPr>
          <w:rFonts w:eastAsia="方正仿宋_GBK"/>
          <w:bCs/>
          <w:kern w:val="0"/>
          <w:szCs w:val="32"/>
        </w:rPr>
      </w:pPr>
    </w:p>
    <w:p w14:paraId="58DF91BF">
      <w:pPr>
        <w:spacing w:line="600" w:lineRule="exact"/>
        <w:ind w:firstLine="636" w:firstLineChars="200"/>
        <w:rPr>
          <w:rFonts w:hAnsi="仿宋"/>
          <w:szCs w:val="32"/>
        </w:rPr>
      </w:pPr>
      <w:r>
        <w:rPr>
          <w:rFonts w:hint="eastAsia" w:hAnsi="仿宋"/>
          <w:szCs w:val="32"/>
        </w:rPr>
        <w:t>健全多层次养老保险体系，完善企业年金、职业年金制度，建立个人养老金制度，推动养老保险第三支柱发展。根据国家、省里部署，结合我市经济社会发展水平，稳步提高各项社会保险待遇水平。进一步完善城乡居民基本养老保险多缴多得激励机制，鼓励参保人员多缴费、多积累。进一步完善失业保险金标准调整机制，适度提高失业保险待遇水平。完善失业保险预防失业促进就业的政策体系，通过发放岗位补贴、社会保险补贴和培训补贴等政策，构建稳定就业的长效机制。完善工伤保险待遇正常调整机制，适度提高工伤保险待遇水平。适时调整提高住院伙食补助费、异地就医（配置辅助器具）交通、食宿费标准，辅助器具配置项目基本满足工伤职工需求。</w:t>
      </w:r>
    </w:p>
    <w:p w14:paraId="73DB07D8">
      <w:pPr>
        <w:spacing w:line="540" w:lineRule="exact"/>
        <w:ind w:firstLine="596" w:firstLineChars="200"/>
        <w:rPr>
          <w:rFonts w:hAnsi="仿宋"/>
          <w:sz w:val="30"/>
          <w:szCs w:val="30"/>
        </w:rPr>
      </w:pPr>
    </w:p>
    <w:p w14:paraId="2A24BD39">
      <w:pPr>
        <w:pStyle w:val="3"/>
        <w:spacing w:line="540" w:lineRule="exact"/>
        <w:rPr>
          <w:rFonts w:ascii="黑体" w:hAnsi="黑体" w:eastAsia="黑体"/>
          <w:b w:val="0"/>
          <w:bCs w:val="0"/>
          <w:sz w:val="32"/>
          <w:szCs w:val="32"/>
        </w:rPr>
      </w:pPr>
      <w:r>
        <w:rPr>
          <w:rFonts w:hint="eastAsia" w:ascii="黑体" w:hAnsi="黑体" w:eastAsia="黑体"/>
          <w:b w:val="0"/>
          <w:bCs w:val="0"/>
          <w:sz w:val="32"/>
          <w:szCs w:val="32"/>
        </w:rPr>
        <w:t>第四节  保障基金安全可持续运行</w:t>
      </w:r>
    </w:p>
    <w:p w14:paraId="0BE939A3">
      <w:pPr>
        <w:widowControl/>
        <w:shd w:val="clear" w:color="auto" w:fill="FFFFFF"/>
        <w:spacing w:line="540" w:lineRule="exact"/>
        <w:ind w:firstLine="596" w:firstLineChars="200"/>
        <w:jc w:val="left"/>
        <w:rPr>
          <w:rFonts w:hAnsi="仿宋"/>
          <w:sz w:val="30"/>
          <w:szCs w:val="30"/>
        </w:rPr>
      </w:pPr>
    </w:p>
    <w:p w14:paraId="0EE1373B">
      <w:pPr>
        <w:spacing w:line="600" w:lineRule="exact"/>
        <w:ind w:firstLine="636" w:firstLineChars="200"/>
        <w:rPr>
          <w:rFonts w:hAnsi="仿宋"/>
          <w:szCs w:val="32"/>
        </w:rPr>
      </w:pPr>
      <w:r>
        <w:rPr>
          <w:rFonts w:hint="eastAsia" w:hAnsi="仿宋"/>
          <w:szCs w:val="32"/>
        </w:rPr>
        <w:t>健全</w:t>
      </w:r>
      <w:r>
        <w:rPr>
          <w:rFonts w:hAnsi="仿宋"/>
          <w:szCs w:val="32"/>
        </w:rPr>
        <w:t>社会保险基金预算管理制度，</w:t>
      </w:r>
      <w:r>
        <w:rPr>
          <w:rFonts w:hint="eastAsia" w:hAnsi="仿宋"/>
          <w:szCs w:val="32"/>
        </w:rPr>
        <w:t>保障</w:t>
      </w:r>
      <w:r>
        <w:rPr>
          <w:rFonts w:hAnsi="仿宋"/>
          <w:szCs w:val="32"/>
        </w:rPr>
        <w:t>社会保险基金的安全可持续运行</w:t>
      </w:r>
      <w:r>
        <w:rPr>
          <w:rFonts w:hint="eastAsia" w:hAnsi="仿宋"/>
          <w:szCs w:val="32"/>
        </w:rPr>
        <w:t>。完善社会保险基金管理风险内控制度，加强基本养老保险基金潜在风险识别预警。健全政策、经办、信息、监督“四位一体”的风险防控体系，加强社会保险基金监督检查，查处和纠正违法违规行为，加大社会保险领域违法犯罪行为打击力度。</w:t>
      </w:r>
      <w:r>
        <w:rPr>
          <w:rFonts w:hAnsi="仿宋"/>
          <w:szCs w:val="32"/>
        </w:rPr>
        <w:t>做好划转部分国有资本充实社会保险基金相关工作</w:t>
      </w:r>
      <w:r>
        <w:rPr>
          <w:rFonts w:hint="eastAsia" w:hAnsi="仿宋"/>
          <w:szCs w:val="32"/>
        </w:rPr>
        <w:t>。积极配合部、省级开展社保基金、职业年金基金市场化投资运营，加大日常监督力度，促进社保基金和职业年金基金保值增值。</w:t>
      </w:r>
    </w:p>
    <w:p w14:paraId="1755D8A9">
      <w:pPr>
        <w:pStyle w:val="2"/>
        <w:spacing w:after="0" w:line="540" w:lineRule="exact"/>
      </w:pPr>
    </w:p>
    <w:p w14:paraId="3A781A43">
      <w:pPr>
        <w:pStyle w:val="3"/>
        <w:spacing w:line="540" w:lineRule="exact"/>
        <w:rPr>
          <w:rFonts w:ascii="黑体" w:hAnsi="黑体" w:eastAsia="黑体"/>
          <w:b w:val="0"/>
          <w:bCs w:val="0"/>
          <w:sz w:val="32"/>
          <w:szCs w:val="32"/>
        </w:rPr>
      </w:pPr>
      <w:r>
        <w:rPr>
          <w:rFonts w:hint="eastAsia" w:ascii="黑体" w:hAnsi="黑体" w:eastAsia="黑体"/>
          <w:b w:val="0"/>
          <w:bCs w:val="0"/>
          <w:sz w:val="32"/>
          <w:szCs w:val="32"/>
        </w:rPr>
        <w:t>第五章 实施人才强市战略，推进人才优先发展</w:t>
      </w:r>
    </w:p>
    <w:p w14:paraId="2E2EBDBA">
      <w:pPr>
        <w:pStyle w:val="2"/>
        <w:spacing w:after="0" w:line="540" w:lineRule="exact"/>
      </w:pPr>
    </w:p>
    <w:p w14:paraId="4C7E107A">
      <w:pPr>
        <w:spacing w:line="600" w:lineRule="exact"/>
        <w:ind w:firstLine="636" w:firstLineChars="200"/>
        <w:rPr>
          <w:rFonts w:hint="eastAsia" w:hAnsi="仿宋_GB2312" w:cs="仿宋_GB2312"/>
          <w:szCs w:val="32"/>
        </w:rPr>
      </w:pPr>
      <w:r>
        <w:rPr>
          <w:rFonts w:hint="eastAsia" w:hAnsi="仿宋_GB2312" w:cs="仿宋_GB2312"/>
          <w:szCs w:val="32"/>
        </w:rPr>
        <w:t>坚持党管人才原则，深入实施人才强市战略和人才优先发展战略，破除束缚人才发展的体制机制障碍，以高层次专业技术人才和高技能人才为重点，突出“高精尖缺”导向，努力造就一支规模宏大、结构合理、素质优良、富有创新精神的高素质人才队伍。</w:t>
      </w:r>
    </w:p>
    <w:p w14:paraId="2F59E762">
      <w:pPr>
        <w:spacing w:line="460" w:lineRule="exact"/>
        <w:ind w:firstLine="596" w:firstLineChars="200"/>
        <w:rPr>
          <w:rFonts w:hAnsi="仿宋"/>
          <w:sz w:val="30"/>
          <w:szCs w:val="30"/>
        </w:rPr>
      </w:pPr>
    </w:p>
    <w:p w14:paraId="619C49F2">
      <w:pPr>
        <w:pStyle w:val="3"/>
        <w:rPr>
          <w:rFonts w:ascii="黑体" w:hAnsi="黑体" w:eastAsia="黑体"/>
          <w:b w:val="0"/>
          <w:bCs w:val="0"/>
          <w:sz w:val="32"/>
          <w:szCs w:val="32"/>
        </w:rPr>
      </w:pPr>
      <w:r>
        <w:rPr>
          <w:rFonts w:hint="eastAsia" w:ascii="黑体" w:hAnsi="黑体" w:eastAsia="黑体"/>
          <w:b w:val="0"/>
          <w:bCs w:val="0"/>
          <w:sz w:val="32"/>
          <w:szCs w:val="32"/>
        </w:rPr>
        <w:t>第一节 深化人才体制机制改革</w:t>
      </w:r>
    </w:p>
    <w:p w14:paraId="249BB35C">
      <w:pPr>
        <w:spacing w:line="460" w:lineRule="exact"/>
        <w:jc w:val="center"/>
        <w:rPr>
          <w:rFonts w:ascii="仿宋" w:hAnsi="仿宋" w:eastAsia="仿宋"/>
          <w:b/>
          <w:sz w:val="30"/>
          <w:szCs w:val="30"/>
        </w:rPr>
      </w:pPr>
    </w:p>
    <w:p w14:paraId="70AFD7AC">
      <w:pPr>
        <w:spacing w:line="600" w:lineRule="exact"/>
        <w:ind w:firstLine="636" w:firstLineChars="200"/>
        <w:rPr>
          <w:rFonts w:hAnsi="仿宋"/>
          <w:szCs w:val="32"/>
        </w:rPr>
      </w:pPr>
      <w:r>
        <w:rPr>
          <w:rFonts w:hint="eastAsia" w:ascii="宋体" w:hAnsi="宋体" w:cs="宋体"/>
          <w:b/>
          <w:szCs w:val="32"/>
        </w:rPr>
        <w:t>推进人才管理体制改革。</w:t>
      </w:r>
      <w:r>
        <w:rPr>
          <w:rFonts w:hAnsi="仿宋"/>
          <w:szCs w:val="32"/>
        </w:rPr>
        <w:t>贯彻落实中央和省</w:t>
      </w:r>
      <w:r>
        <w:rPr>
          <w:rFonts w:hint="eastAsia" w:hAnsi="仿宋"/>
          <w:szCs w:val="32"/>
        </w:rPr>
        <w:t>里</w:t>
      </w:r>
      <w:r>
        <w:rPr>
          <w:rFonts w:hAnsi="仿宋"/>
          <w:szCs w:val="32"/>
        </w:rPr>
        <w:t>深化人才发展体制机制改革的意见，加快政府人才管理职能</w:t>
      </w:r>
      <w:r>
        <w:rPr>
          <w:rFonts w:hint="eastAsia" w:hAnsi="仿宋"/>
          <w:szCs w:val="32"/>
        </w:rPr>
        <w:t>转变</w:t>
      </w:r>
      <w:r>
        <w:rPr>
          <w:rFonts w:hAnsi="仿宋"/>
          <w:szCs w:val="32"/>
        </w:rPr>
        <w:t>，通过积极引进和培育多元市场主体，逐步将部分政府人才工作职能转移给市场主体，充分发挥各类人才、用人单位、人才服务机构、金融机构、行业协会等市场主体在人才发展治理中的作用。强</w:t>
      </w:r>
      <w:r>
        <w:rPr>
          <w:rFonts w:hint="eastAsia" w:hAnsi="仿宋"/>
          <w:szCs w:val="32"/>
        </w:rPr>
        <w:t>化</w:t>
      </w:r>
      <w:r>
        <w:rPr>
          <w:rFonts w:hAnsi="仿宋"/>
          <w:szCs w:val="32"/>
        </w:rPr>
        <w:t>用人主体人才意识，建立正向激励体系，将</w:t>
      </w:r>
      <w:r>
        <w:rPr>
          <w:rFonts w:hint="eastAsia" w:hAnsi="仿宋"/>
          <w:szCs w:val="32"/>
        </w:rPr>
        <w:t>“</w:t>
      </w:r>
      <w:r>
        <w:rPr>
          <w:rFonts w:hAnsi="仿宋"/>
          <w:szCs w:val="32"/>
        </w:rPr>
        <w:t>政府引进人才，政府奖励人才</w:t>
      </w:r>
      <w:r>
        <w:rPr>
          <w:rFonts w:hint="eastAsia" w:hAnsi="仿宋"/>
          <w:szCs w:val="32"/>
        </w:rPr>
        <w:t>”</w:t>
      </w:r>
      <w:r>
        <w:rPr>
          <w:rFonts w:hAnsi="仿宋"/>
          <w:szCs w:val="32"/>
        </w:rPr>
        <w:t>的模式转变为</w:t>
      </w:r>
      <w:r>
        <w:rPr>
          <w:rFonts w:hint="eastAsia" w:hAnsi="仿宋"/>
          <w:szCs w:val="32"/>
        </w:rPr>
        <w:t>“</w:t>
      </w:r>
      <w:r>
        <w:rPr>
          <w:rFonts w:hAnsi="仿宋"/>
          <w:szCs w:val="32"/>
        </w:rPr>
        <w:t>用人主体引进人才，政府奖励用人主体</w:t>
      </w:r>
      <w:r>
        <w:rPr>
          <w:rFonts w:hint="eastAsia" w:hAnsi="仿宋"/>
          <w:szCs w:val="32"/>
        </w:rPr>
        <w:t>”</w:t>
      </w:r>
      <w:r>
        <w:rPr>
          <w:rFonts w:hAnsi="仿宋"/>
          <w:szCs w:val="32"/>
        </w:rPr>
        <w:t>的模式。鼓励用人主体有序参与人才资源开发，尊重用人主体在人才引进</w:t>
      </w:r>
      <w:r>
        <w:rPr>
          <w:rFonts w:hint="eastAsia" w:hAnsi="仿宋"/>
          <w:szCs w:val="32"/>
        </w:rPr>
        <w:t>、</w:t>
      </w:r>
      <w:r>
        <w:rPr>
          <w:rFonts w:hAnsi="仿宋"/>
          <w:szCs w:val="32"/>
        </w:rPr>
        <w:t>评价、使用和激励等方面的自主权。</w:t>
      </w:r>
      <w:r>
        <w:rPr>
          <w:rFonts w:hint="eastAsia" w:hAnsi="仿宋"/>
          <w:szCs w:val="32"/>
        </w:rPr>
        <w:t>充分发挥“七区叠加”政策联动优势，以自由贸易试验区、</w:t>
      </w:r>
      <w:r>
        <w:rPr>
          <w:rFonts w:hAnsi="仿宋"/>
          <w:szCs w:val="32"/>
        </w:rPr>
        <w:t>自主创新示范区</w:t>
      </w:r>
      <w:r>
        <w:rPr>
          <w:rFonts w:hint="eastAsia" w:hAnsi="仿宋"/>
          <w:szCs w:val="32"/>
        </w:rPr>
        <w:t>、福州新区为改革平台，全面落实系列人才新政，发挥高层次人才配套补助、毕业生落地奖励、个税奖励、平台建设等政策吸引效应。</w:t>
      </w:r>
    </w:p>
    <w:p w14:paraId="52A0C947">
      <w:pPr>
        <w:spacing w:line="600" w:lineRule="exact"/>
        <w:ind w:firstLine="636" w:firstLineChars="200"/>
        <w:jc w:val="left"/>
        <w:rPr>
          <w:rFonts w:hAnsi="仿宋"/>
          <w:szCs w:val="32"/>
        </w:rPr>
      </w:pPr>
      <w:r>
        <w:rPr>
          <w:rFonts w:hint="eastAsia" w:hAnsi="仿宋"/>
          <w:b/>
          <w:bCs/>
          <w:szCs w:val="32"/>
        </w:rPr>
        <w:t>创新人才评价机制。</w:t>
      </w:r>
      <w:r>
        <w:rPr>
          <w:rFonts w:hAnsi="仿宋"/>
          <w:szCs w:val="32"/>
        </w:rPr>
        <w:t>健全以创新能力、质量、实效、贡献为导向的科技人才评价体系，围绕全</w:t>
      </w:r>
      <w:r>
        <w:rPr>
          <w:rFonts w:hint="eastAsia" w:hAnsi="仿宋"/>
          <w:szCs w:val="32"/>
        </w:rPr>
        <w:t>市</w:t>
      </w:r>
      <w:r>
        <w:rPr>
          <w:rFonts w:hAnsi="仿宋"/>
          <w:szCs w:val="32"/>
        </w:rPr>
        <w:t>经济社会发展需要，结合主导产业和重点行业、领域的人才发展需求，与福建省高层次人才认定和支持办法相衔接，探索建立符合各类人才和岗位特点</w:t>
      </w:r>
      <w:r>
        <w:rPr>
          <w:rFonts w:hint="eastAsia" w:hAnsi="仿宋"/>
          <w:szCs w:val="32"/>
        </w:rPr>
        <w:t>的</w:t>
      </w:r>
      <w:r>
        <w:rPr>
          <w:rFonts w:hAnsi="仿宋"/>
          <w:szCs w:val="32"/>
        </w:rPr>
        <w:t>差异化评价标准，</w:t>
      </w:r>
      <w:r>
        <w:rPr>
          <w:rFonts w:hint="eastAsia" w:hAnsi="仿宋"/>
          <w:szCs w:val="32"/>
        </w:rPr>
        <w:t>建立更加科学的人才分类评价体系。</w:t>
      </w:r>
    </w:p>
    <w:p w14:paraId="69ABE19A">
      <w:pPr>
        <w:spacing w:line="600" w:lineRule="exact"/>
        <w:ind w:firstLine="636" w:firstLineChars="200"/>
        <w:jc w:val="left"/>
        <w:rPr>
          <w:rFonts w:hAnsi="仿宋"/>
          <w:bCs/>
          <w:szCs w:val="32"/>
        </w:rPr>
      </w:pPr>
      <w:r>
        <w:rPr>
          <w:rFonts w:hint="eastAsia" w:hAnsi="仿宋"/>
          <w:b/>
          <w:bCs/>
          <w:szCs w:val="32"/>
        </w:rPr>
        <w:t>创新人才激励机制。</w:t>
      </w:r>
      <w:r>
        <w:rPr>
          <w:rFonts w:hint="eastAsia" w:hAnsi="仿宋"/>
          <w:bCs/>
          <w:szCs w:val="32"/>
        </w:rPr>
        <w:t>支持高校、科研院所等事业单位的科研人员按规定离岗创业、兼职创新、在职创办企业、到企业工作或参与项目合作，开展科技成果研发和转化活动。</w:t>
      </w:r>
      <w:r>
        <w:rPr>
          <w:rFonts w:hAnsi="仿宋"/>
          <w:bCs/>
          <w:szCs w:val="32"/>
        </w:rPr>
        <w:t>构建充分体现知识、技术等创新要素价值的收益分配机制，推动知识、技术、管理、技能等生产要素按贡献参与分配</w:t>
      </w:r>
      <w:r>
        <w:rPr>
          <w:rFonts w:hint="eastAsia" w:hAnsi="仿宋"/>
          <w:bCs/>
          <w:szCs w:val="32"/>
        </w:rPr>
        <w:t>。</w:t>
      </w:r>
      <w:r>
        <w:rPr>
          <w:rFonts w:hAnsi="仿宋"/>
          <w:bCs/>
          <w:szCs w:val="32"/>
        </w:rPr>
        <w:t>实行以增加知识价值为导向的分配政策，完善科研人员职务发明成果权益分享机制，探索赋予科研人员职务科技成果所有权或长期使用权，提高科研人员收益分享比例。</w:t>
      </w:r>
      <w:r>
        <w:rPr>
          <w:rFonts w:hint="eastAsia" w:hAnsi="仿宋"/>
          <w:bCs/>
          <w:szCs w:val="32"/>
        </w:rPr>
        <w:t>鼓励</w:t>
      </w:r>
      <w:r>
        <w:rPr>
          <w:rFonts w:hAnsi="仿宋"/>
          <w:bCs/>
          <w:szCs w:val="32"/>
        </w:rPr>
        <w:t>用人单位实行岗位绩效工资制、年薪制、协议工资制、效益工资制、项目工资制、成果工资制、</w:t>
      </w:r>
      <w:r>
        <w:rPr>
          <w:rFonts w:hint="eastAsia" w:hAnsi="仿宋"/>
          <w:bCs/>
          <w:szCs w:val="32"/>
        </w:rPr>
        <w:t>兼职兼薪</w:t>
      </w:r>
      <w:r>
        <w:rPr>
          <w:rFonts w:hAnsi="仿宋"/>
          <w:bCs/>
          <w:szCs w:val="32"/>
        </w:rPr>
        <w:t>等</w:t>
      </w:r>
      <w:r>
        <w:rPr>
          <w:rFonts w:hint="eastAsia" w:hAnsi="仿宋"/>
          <w:bCs/>
          <w:szCs w:val="32"/>
        </w:rPr>
        <w:t>多种分配方式</w:t>
      </w:r>
      <w:r>
        <w:rPr>
          <w:rFonts w:hAnsi="仿宋"/>
          <w:bCs/>
          <w:szCs w:val="32"/>
        </w:rPr>
        <w:t>，</w:t>
      </w:r>
      <w:r>
        <w:rPr>
          <w:rFonts w:hint="eastAsia" w:hAnsi="仿宋"/>
          <w:bCs/>
          <w:szCs w:val="32"/>
        </w:rPr>
        <w:t>切实发挥收入分配、表彰奖励的激励导向作用，激发各类人才创新创业的积极性和主动性。</w:t>
      </w:r>
      <w:r>
        <w:rPr>
          <w:rFonts w:hAnsi="仿宋"/>
          <w:bCs/>
          <w:szCs w:val="32"/>
        </w:rPr>
        <w:t>探索实行科技成果的股权和分红激励制度</w:t>
      </w:r>
      <w:r>
        <w:rPr>
          <w:rFonts w:hint="eastAsia" w:hAnsi="仿宋"/>
          <w:bCs/>
          <w:szCs w:val="32"/>
        </w:rPr>
        <w:t>，支持以参股</w:t>
      </w:r>
      <w:r>
        <w:rPr>
          <w:rFonts w:hAnsi="仿宋"/>
          <w:bCs/>
          <w:szCs w:val="32"/>
        </w:rPr>
        <w:t>、</w:t>
      </w:r>
      <w:r>
        <w:rPr>
          <w:rFonts w:hint="eastAsia" w:hAnsi="仿宋"/>
          <w:bCs/>
          <w:szCs w:val="32"/>
        </w:rPr>
        <w:t>项目合作等方式引进海内外高层次人才团队。</w:t>
      </w:r>
    </w:p>
    <w:p w14:paraId="26D1B688">
      <w:pPr>
        <w:spacing w:line="600" w:lineRule="exact"/>
        <w:ind w:firstLine="636" w:firstLineChars="200"/>
        <w:rPr>
          <w:szCs w:val="32"/>
        </w:rPr>
      </w:pPr>
      <w:r>
        <w:rPr>
          <w:rFonts w:hint="eastAsia" w:hAnsi="仿宋"/>
          <w:b/>
          <w:bCs/>
          <w:szCs w:val="32"/>
        </w:rPr>
        <w:t>健全人才顺畅流动机制。</w:t>
      </w:r>
      <w:r>
        <w:rPr>
          <w:rFonts w:hAnsi="仿宋"/>
          <w:bCs/>
          <w:szCs w:val="32"/>
        </w:rPr>
        <w:t>畅通体制内与体制外人才</w:t>
      </w:r>
      <w:r>
        <w:rPr>
          <w:rFonts w:hint="eastAsia" w:hAnsi="仿宋"/>
          <w:bCs/>
          <w:szCs w:val="32"/>
        </w:rPr>
        <w:t>双向</w:t>
      </w:r>
      <w:r>
        <w:rPr>
          <w:rFonts w:hAnsi="仿宋"/>
          <w:bCs/>
          <w:szCs w:val="32"/>
        </w:rPr>
        <w:t>流通渠道</w:t>
      </w:r>
      <w:r>
        <w:rPr>
          <w:rFonts w:hint="eastAsia" w:hAnsi="仿宋"/>
          <w:bCs/>
          <w:szCs w:val="32"/>
        </w:rPr>
        <w:t>，探索企业、社会组织</w:t>
      </w:r>
      <w:r>
        <w:rPr>
          <w:rFonts w:hAnsi="仿宋"/>
          <w:bCs/>
          <w:szCs w:val="32"/>
        </w:rPr>
        <w:t>优秀人才进入党政机关、国有企事业单位</w:t>
      </w:r>
      <w:r>
        <w:rPr>
          <w:rFonts w:hint="eastAsia" w:hAnsi="仿宋"/>
          <w:bCs/>
          <w:szCs w:val="32"/>
        </w:rPr>
        <w:t>途径</w:t>
      </w:r>
      <w:r>
        <w:rPr>
          <w:rFonts w:hAnsi="仿宋"/>
          <w:bCs/>
          <w:szCs w:val="32"/>
        </w:rPr>
        <w:t>，开展不同领域、不同层次的轮岗交流锻炼。合理调配编制资源，设立高层次人才编制专户，着力解决高层次紧缺人才在录用、流动中遇到的编制使用难题，为人才合理流动提供简洁、高效的机构编制动态调整保障机制。</w:t>
      </w:r>
    </w:p>
    <w:p w14:paraId="5B473F9C">
      <w:pPr>
        <w:spacing w:line="460" w:lineRule="exact"/>
        <w:rPr>
          <w:rFonts w:ascii="仿宋" w:hAnsi="仿宋" w:eastAsia="仿宋"/>
          <w:b/>
          <w:sz w:val="30"/>
          <w:szCs w:val="30"/>
        </w:rPr>
      </w:pPr>
    </w:p>
    <w:p w14:paraId="3B22F4EF">
      <w:pPr>
        <w:pStyle w:val="3"/>
        <w:spacing w:line="520" w:lineRule="exact"/>
        <w:rPr>
          <w:rFonts w:ascii="黑体" w:hAnsi="黑体" w:eastAsia="黑体"/>
          <w:b w:val="0"/>
          <w:bCs w:val="0"/>
          <w:sz w:val="32"/>
          <w:szCs w:val="32"/>
        </w:rPr>
      </w:pPr>
      <w:r>
        <w:rPr>
          <w:rFonts w:hint="eastAsia" w:ascii="黑体" w:hAnsi="黑体" w:eastAsia="黑体"/>
          <w:b w:val="0"/>
          <w:bCs w:val="0"/>
          <w:sz w:val="32"/>
          <w:szCs w:val="32"/>
        </w:rPr>
        <w:t>第二节 深入实施“福聚英才”战略计划</w:t>
      </w:r>
    </w:p>
    <w:p w14:paraId="302B483C">
      <w:pPr>
        <w:spacing w:line="520" w:lineRule="exact"/>
        <w:ind w:firstLine="596" w:firstLineChars="200"/>
        <w:rPr>
          <w:rFonts w:hAnsi="仿宋"/>
          <w:b/>
          <w:bCs/>
          <w:sz w:val="30"/>
          <w:szCs w:val="30"/>
        </w:rPr>
      </w:pPr>
    </w:p>
    <w:p w14:paraId="2033A09E">
      <w:pPr>
        <w:spacing w:line="600" w:lineRule="exact"/>
        <w:ind w:firstLine="636" w:firstLineChars="200"/>
        <w:rPr>
          <w:rFonts w:hint="eastAsia" w:hAnsi="仿宋_GB2312" w:cs="仿宋_GB2312"/>
          <w:b/>
          <w:szCs w:val="32"/>
        </w:rPr>
      </w:pPr>
      <w:r>
        <w:rPr>
          <w:rFonts w:hint="eastAsia" w:hAnsi="仿宋_GB2312" w:cs="仿宋_GB2312"/>
          <w:b/>
          <w:bCs/>
          <w:szCs w:val="32"/>
        </w:rPr>
        <w:t>加强高层次人才推荐和培养。</w:t>
      </w:r>
      <w:r>
        <w:rPr>
          <w:rFonts w:hint="eastAsia" w:hAnsi="仿宋_GB2312" w:cs="仿宋_GB2312"/>
          <w:szCs w:val="32"/>
        </w:rPr>
        <w:t>以高层次创新型人才为核</w:t>
      </w:r>
      <w:r>
        <w:rPr>
          <w:rFonts w:hint="eastAsia" w:cs="仿宋_GB2312"/>
          <w:szCs w:val="32"/>
          <w:lang w:eastAsia="zh-CN"/>
        </w:rPr>
        <w:t>，</w:t>
      </w:r>
      <w:r>
        <w:rPr>
          <w:rFonts w:hint="eastAsia" w:hAnsi="仿宋_GB2312" w:cs="仿宋_GB2312"/>
          <w:szCs w:val="32"/>
        </w:rPr>
        <w:t>着力选拔、培养、推荐、集聚一批战略科学家、科技领军人才，积极推进高层次人才队伍建设。注重国家级、省级人才的推荐和培养，组织开展享受政府特殊津贴专家、百千万工程人才人选、“雏鹰计划”青年拔尖人才等推荐培养工作，推动建设专家服务基地申报工作，推动遴选一批享受政府特殊津贴专家工作室和省级人才驿站示范站。加快实施“评选千名存量人才计划”，建立多层次、多渠道的青年拔尖人才培养管理体系。进一步做大做强博士后“两站一基地”等平台，强化博士后人员引进招收和管理，提高企业博士后人才支持力度，加快产学研结合培养青年人才。</w:t>
      </w:r>
      <w:r>
        <w:rPr>
          <w:rFonts w:hint="eastAsia" w:hAnsi="仿宋_GB2312" w:cs="仿宋_GB2312"/>
          <w:bCs/>
          <w:szCs w:val="32"/>
        </w:rPr>
        <w:t>坚持“不求所有，但求所用，不求所在，但求所为”的柔性引才理念，创新柔性引才方式，引进一批重大项目推进、重点技术攻关、主导产业发展所急需的高层次人才。</w:t>
      </w:r>
    </w:p>
    <w:p w14:paraId="43240EFE">
      <w:pPr>
        <w:spacing w:line="600" w:lineRule="exact"/>
        <w:ind w:firstLine="636" w:firstLineChars="200"/>
        <w:rPr>
          <w:rFonts w:hint="eastAsia" w:hAnsi="仿宋_GB2312" w:cs="仿宋_GB2312"/>
          <w:bCs/>
          <w:szCs w:val="32"/>
        </w:rPr>
      </w:pPr>
      <w:r>
        <w:rPr>
          <w:rFonts w:hint="eastAsia" w:hAnsi="仿宋_GB2312" w:cs="仿宋_GB2312"/>
          <w:b/>
          <w:szCs w:val="32"/>
        </w:rPr>
        <w:t>启动产业人才集聚工程。</w:t>
      </w:r>
      <w:r>
        <w:rPr>
          <w:rFonts w:hint="eastAsia" w:hAnsi="仿宋_GB2312" w:cs="仿宋_GB2312"/>
          <w:bCs/>
          <w:szCs w:val="32"/>
        </w:rPr>
        <w:t>以服务全市产业布局、重点工作和用人单位实际需求为导向，实施人才集群战略,以集群效应促进产业跨越式发展。打造多点驱动的产业人才集群发展示范区，立足三创园建设和发展需求，坚持把人才培养与重点产业、重大项目结合起来，增强园区的人才吸纳能力和产业聚集能力。坚持人才规划与产业发展规划同步推进，将纺织、光电、机械、石化等支柱产业和智能制造、新能源、数字经济等战略性新兴产业人才纳入中长期发展规划。建立完善全市各类人才动态信息库，</w:t>
      </w:r>
      <w:r>
        <w:rPr>
          <w:rFonts w:hint="eastAsia" w:hAnsi="仿宋_GB2312" w:cs="仿宋_GB2312"/>
          <w:szCs w:val="32"/>
        </w:rPr>
        <w:t>发布紧缺急需人才引进指导目录</w:t>
      </w:r>
      <w:r>
        <w:rPr>
          <w:rFonts w:hint="eastAsia" w:hAnsi="仿宋_GB2312" w:cs="仿宋_GB2312"/>
          <w:bCs/>
          <w:szCs w:val="32"/>
        </w:rPr>
        <w:t>，明确引才重点和引才方向，促进人才市场信息沟通联系，</w:t>
      </w:r>
      <w:r>
        <w:rPr>
          <w:rFonts w:hint="eastAsia" w:hAnsi="仿宋_GB2312" w:cs="仿宋_GB2312"/>
          <w:szCs w:val="32"/>
        </w:rPr>
        <w:t>为制定人才政策和精准引才提供依据。</w:t>
      </w:r>
      <w:r>
        <w:rPr>
          <w:rFonts w:hint="eastAsia" w:hAnsi="仿宋_GB2312" w:cs="仿宋_GB2312"/>
          <w:bCs/>
          <w:szCs w:val="32"/>
        </w:rPr>
        <w:t>打造“引进一批人才、发展一大产业、培育一个经济增长点”的链式效应，根据产业链布局人才链，打造创新链，形成人才引领产业，产业集聚人才的良性循环。</w:t>
      </w:r>
    </w:p>
    <w:p w14:paraId="56461048">
      <w:pPr>
        <w:spacing w:line="600" w:lineRule="exact"/>
        <w:ind w:firstLine="636" w:firstLineChars="200"/>
        <w:rPr>
          <w:rFonts w:hint="eastAsia" w:hAnsi="仿宋_GB2312" w:cs="仿宋_GB2312"/>
          <w:bCs/>
          <w:szCs w:val="32"/>
        </w:rPr>
      </w:pPr>
      <w:r>
        <w:rPr>
          <w:rFonts w:hint="eastAsia" w:hAnsi="仿宋_GB2312" w:cs="仿宋_GB2312"/>
          <w:b/>
          <w:szCs w:val="32"/>
        </w:rPr>
        <w:t>启动大学生留榕兴业工程。</w:t>
      </w:r>
      <w:r>
        <w:rPr>
          <w:rFonts w:hint="eastAsia" w:hAnsi="仿宋_GB2312" w:cs="仿宋_GB2312"/>
          <w:bCs/>
          <w:szCs w:val="32"/>
        </w:rPr>
        <w:t>实施榕籍双一流高校毕业生回归和在榕高校毕业生扩容行动，</w:t>
      </w:r>
      <w:r>
        <w:rPr>
          <w:rFonts w:hint="eastAsia" w:cs="仿宋_GB2312"/>
          <w:szCs w:val="32"/>
        </w:rPr>
        <w:t>将“好年华</w:t>
      </w:r>
      <w:r>
        <w:rPr>
          <w:rFonts w:hint="eastAsia" w:hAnsi="仿宋_GB2312" w:cs="仿宋_GB2312"/>
          <w:b/>
          <w:szCs w:val="32"/>
        </w:rPr>
        <w:t>·</w:t>
      </w:r>
      <w:r>
        <w:rPr>
          <w:rFonts w:hint="eastAsia" w:cs="仿宋_GB2312"/>
          <w:szCs w:val="32"/>
        </w:rPr>
        <w:t>聚福州”作为我市引才特色品牌，精心打造、持续做强，重点开展“好年华</w:t>
      </w:r>
      <w:r>
        <w:rPr>
          <w:rFonts w:hint="eastAsia" w:hAnsi="仿宋_GB2312" w:cs="仿宋_GB2312"/>
          <w:b/>
          <w:szCs w:val="32"/>
        </w:rPr>
        <w:t>·</w:t>
      </w:r>
      <w:r>
        <w:rPr>
          <w:rFonts w:hint="eastAsia" w:cs="仿宋_GB2312"/>
          <w:szCs w:val="32"/>
        </w:rPr>
        <w:t>聚福州”校园（秋季）招聘会、高校毕业生双选会、高校毕业生暑期社会实践等系列人才引进活动。</w:t>
      </w:r>
      <w:r>
        <w:rPr>
          <w:rFonts w:hint="eastAsia" w:hAnsi="仿宋_GB2312" w:cs="仿宋_GB2312"/>
          <w:bCs/>
          <w:szCs w:val="32"/>
        </w:rPr>
        <w:t>通过建立健全人社与教育部门联动制度、寒暑假实习实践制度、困难学生救济制度、家庭联络联系制度等，跟踪培养并吸引优秀榕籍学子返回榕城建设家乡。进一步扩大“榕博汇”引才覆盖面，为企业与人才搭建沟通桥梁，推进引才工作提档升级，提高人才引进与产业发展匹配度。助力打造宜学宜业宜居宜游的一流大学城，鼓励引进国际和国内的知名高校和研究机构建立分校或分院，增加在榕大学生人数，出台留住本地高校毕业生的针对性政策，完善便捷落户、薪酬保障、购房租房等普惠措施，为大学生留榕兴业夯实基础。</w:t>
      </w:r>
    </w:p>
    <w:p w14:paraId="4DC4603B">
      <w:pPr>
        <w:spacing w:line="600" w:lineRule="exact"/>
        <w:ind w:firstLine="636" w:firstLineChars="200"/>
        <w:rPr>
          <w:rFonts w:hint="eastAsia" w:hAnsi="仿宋_GB2312" w:cs="仿宋_GB2312"/>
          <w:szCs w:val="32"/>
        </w:rPr>
      </w:pPr>
      <w:r>
        <w:rPr>
          <w:rFonts w:hint="eastAsia" w:hAnsi="仿宋_GB2312" w:cs="仿宋_GB2312"/>
          <w:b/>
          <w:bCs/>
          <w:szCs w:val="32"/>
        </w:rPr>
        <w:t>启动留学生创业创新工程。</w:t>
      </w:r>
      <w:r>
        <w:rPr>
          <w:rFonts w:hint="eastAsia" w:hAnsi="仿宋_GB2312" w:cs="仿宋_GB2312"/>
          <w:szCs w:val="32"/>
        </w:rPr>
        <w:t>立足全市社会经济发展需要，依托中国福州留学人员创业园及分园建设，不断完善留学生管理服务体系，营造有利于留学人才引用留良好环境。积极对接落实海外优秀青年来闽学术交流支持计划，力争吸引更多海外优秀青年来榕开展学术交流，为后续引进、开展合作创造条件。征集市重点用人单位国（境）外引才需求，通过媒体网络、信息发布会、知名猎头公司等各种渠道广泛发布。创新引才对接机制，凝聚更多留学归国人才。</w:t>
      </w:r>
    </w:p>
    <w:p w14:paraId="2E32301F">
      <w:pPr>
        <w:spacing w:line="600" w:lineRule="exact"/>
        <w:ind w:firstLine="636" w:firstLineChars="200"/>
        <w:rPr>
          <w:rFonts w:hint="eastAsia" w:hAnsi="仿宋_GB2312" w:cs="仿宋_GB2312"/>
          <w:szCs w:val="32"/>
        </w:rPr>
      </w:pPr>
      <w:r>
        <w:rPr>
          <w:rFonts w:hint="eastAsia" w:hAnsi="仿宋_GB2312" w:cs="仿宋_GB2312"/>
          <w:b/>
          <w:bCs/>
          <w:szCs w:val="32"/>
        </w:rPr>
        <w:t>加强高技能人才队伍建设。</w:t>
      </w:r>
      <w:r>
        <w:rPr>
          <w:rFonts w:hint="eastAsia" w:hAnsi="仿宋_GB2312" w:cs="仿宋_GB2312"/>
          <w:szCs w:val="32"/>
        </w:rPr>
        <w:t>认真贯彻落实中央、省相关文件精神，认真贯彻落实关于我市提高技术工人待遇和推行终身职业技能培训制度的意见，完善高技能人才待遇政策，以提升职业技能为核心，建设工种相对齐全、技艺精湛的高技能人才队伍。新培养推荐一批国家级高技能人才培训基地、国家级技能大师工作室和省级技能大师工作室建设项目，新建设一批市级技能大师工作室建设项目，发挥技能大师带徒传技、技能推广、带动就业作用。加大职业技能竞赛力度，做好世界技能大赛参赛准备工作，对接世界技能大赛标准，树立竞赛典型。深化校企合作和产教融合，推进企业新型学徒制培训模式，促进企业和职业技工院校成为技术技能人才培养“双主体”。发挥企业主体作用，引导企业结合生产经营和技术创新需要，制定高技能人才培养规划，加快推进我市产业转型升级。试点开展企业技能人才自主评价，落实职业资格与薪酬待遇挂钩，实现技高者多得、多劳者多得，体现技能价值，引导企业职务职级晋升和工资分配向关键技术岗位、关键工序和紧缺急需的高技能人才倾斜，提高技能人才的收入水平和地位。探索打破人才成长“天花板”，拓展技能人才职业发展空间。</w:t>
      </w:r>
    </w:p>
    <w:p w14:paraId="3D69961D">
      <w:pPr>
        <w:spacing w:line="600" w:lineRule="exact"/>
        <w:ind w:firstLine="636" w:firstLineChars="200"/>
        <w:rPr>
          <w:rFonts w:hint="eastAsia" w:hAnsi="仿宋_GB2312" w:cs="仿宋_GB2312"/>
          <w:szCs w:val="32"/>
        </w:rPr>
      </w:pPr>
      <w:r>
        <w:rPr>
          <w:rFonts w:hint="eastAsia" w:hAnsi="仿宋_GB2312" w:cs="仿宋_GB2312"/>
          <w:b/>
          <w:bCs/>
          <w:szCs w:val="32"/>
        </w:rPr>
        <w:t>实施乡村人才振兴工程。</w:t>
      </w:r>
      <w:r>
        <w:rPr>
          <w:rFonts w:hint="eastAsia" w:hAnsi="仿宋_GB2312" w:cs="仿宋_GB2312"/>
          <w:szCs w:val="32"/>
        </w:rPr>
        <w:t>全面贯彻实施《中华人民共和国乡村振兴促进法》，推进巩固拓展脱贫攻坚与乡村振兴有效衔接，大力培养本土人才，引导城市人才下乡，推动专业人才服务乡村，引进多方智力资源智力帮扶乡村，吸引各类人才在乡村振兴中建功立业。培养造就一批懂农业、爱农村、爱农民的“三农”工作队伍，为乡村振兴、加快农业农村现代化提供人才支撑。加快培养农业生产经营人才、农村二三产业发展人才、乡村公共服务人才、乡村治理人才、农业农村科技人才，发展壮大科技特派员队伍，抓好家庭农场经营者、农村合作社带头人、农村创业创新带头人、乡村工匠培育，推进农业农村高科技领军人才、科技创新人才、科技推广人才培养。探索对长期在乡村学校任教的教师，职称评审可按规定“定向评价、定向使用”，推进乡村基层医疗卫生机构公开招聘，艰苦边远地区县级及基层医疗卫生机构可根据情况适当放宽学历、年龄等招聘条件，对急需紧缺卫生健康专业人才可以采取面试、直接考察等方式公开招聘。加强乡镇党政人才、农村经营管理人才、法律人才队伍建设，推动村党组织带头人队伍整体优化提升，实施“一村一名大学生”培育计划，扩大高校毕业生“三支一扶”计划招募规模，新增乡村振兴岗位和乡镇工业（产业）园区岗位，并予以适当倾斜。加强新生代农民工职业技能培训，围绕乡村振兴对高素质农民工技能就业需要，积极引导新生代农民工参加职业技能培训，落实职业技能培训补贴政策。</w:t>
      </w:r>
    </w:p>
    <w:p w14:paraId="72AF1D8D">
      <w:pPr>
        <w:spacing w:line="520" w:lineRule="exact"/>
        <w:ind w:firstLine="596" w:firstLineChars="200"/>
        <w:rPr>
          <w:rFonts w:hAnsi="仿宋"/>
          <w:b/>
          <w:bCs/>
          <w:sz w:val="30"/>
          <w:szCs w:val="30"/>
        </w:rPr>
      </w:pPr>
    </w:p>
    <w:p w14:paraId="31EC874A">
      <w:pPr>
        <w:pStyle w:val="3"/>
        <w:spacing w:line="520" w:lineRule="exact"/>
        <w:rPr>
          <w:rFonts w:ascii="黑体" w:hAnsi="黑体" w:eastAsia="黑体"/>
          <w:b w:val="0"/>
          <w:bCs w:val="0"/>
          <w:sz w:val="32"/>
          <w:szCs w:val="32"/>
        </w:rPr>
      </w:pPr>
      <w:r>
        <w:rPr>
          <w:rFonts w:hint="eastAsia" w:ascii="黑体" w:hAnsi="黑体" w:eastAsia="黑体"/>
          <w:b w:val="0"/>
          <w:bCs w:val="0"/>
          <w:sz w:val="32"/>
          <w:szCs w:val="32"/>
        </w:rPr>
        <w:t>第三节 加强区域人才合作</w:t>
      </w:r>
    </w:p>
    <w:p w14:paraId="72E231C8">
      <w:pPr>
        <w:widowControl/>
        <w:shd w:val="clear" w:color="auto" w:fill="FFFFFF"/>
        <w:spacing w:line="520" w:lineRule="exact"/>
        <w:rPr>
          <w:rFonts w:ascii="Times New Roman" w:hAnsi="Times New Roman" w:eastAsia="楷体"/>
          <w:sz w:val="28"/>
          <w:szCs w:val="28"/>
        </w:rPr>
      </w:pPr>
    </w:p>
    <w:p w14:paraId="4DE5670E">
      <w:pPr>
        <w:spacing w:line="600" w:lineRule="exact"/>
        <w:ind w:firstLine="636" w:firstLineChars="200"/>
        <w:rPr>
          <w:rFonts w:hAnsi="仿宋"/>
          <w:szCs w:val="32"/>
        </w:rPr>
      </w:pPr>
      <w:r>
        <w:rPr>
          <w:rFonts w:hint="eastAsia" w:hAnsi="仿宋"/>
          <w:b/>
          <w:bCs/>
          <w:szCs w:val="32"/>
        </w:rPr>
        <w:t>深化榕台人才交流发展。</w:t>
      </w:r>
      <w:r>
        <w:rPr>
          <w:rFonts w:hint="eastAsia" w:hAnsi="仿宋"/>
          <w:szCs w:val="32"/>
        </w:rPr>
        <w:t>贯彻习近平总书记在闽考察重要讲话精神，积极推动海峡两岸以通促融、以惠促融、以情促融，发挥对台优势，</w:t>
      </w:r>
      <w:r>
        <w:rPr>
          <w:rFonts w:hAnsi="仿宋"/>
          <w:szCs w:val="32"/>
        </w:rPr>
        <w:t>继续落实国家和省</w:t>
      </w:r>
      <w:r>
        <w:rPr>
          <w:rFonts w:hint="eastAsia" w:hAnsi="仿宋"/>
          <w:szCs w:val="32"/>
        </w:rPr>
        <w:t>里</w:t>
      </w:r>
      <w:r>
        <w:rPr>
          <w:rFonts w:hAnsi="仿宋"/>
          <w:szCs w:val="32"/>
        </w:rPr>
        <w:t>惠台政策，打造台胞台企登陆第一家园</w:t>
      </w:r>
      <w:r>
        <w:rPr>
          <w:rFonts w:hint="eastAsia" w:hAnsi="仿宋"/>
          <w:szCs w:val="32"/>
        </w:rPr>
        <w:t>。深化榕台优势产业融合发展，重点围绕台湾电子信息、石油化工、机械制造、医药卫生和现代服务业等重点产业，大力引进台资产业链核心技术、龙头项目和高端人才。探索选拔引进台湾优秀毕业生到国有企业、高校、科研院所、医疗等领域工作的有效途径，鼓励在榕台湾人才申报国家和我省人才工程项目。对国有企业招聘的台湾人才实行薪酬单列。扩大直接采认台湾地区职业资格范围，实施对台职业技能等级认定试点工作。鼓励台湾人力资源机构来榕设立分支机构和开展业务，加强榕台人力资源机构交流合作。持续办好海峡青年节，建设两岸青年第一家园就业创业驿站等特色平台，开展台湾教师、医师、专业技术人才、就业创业青年、高层次台湾人才等五大行业引才百人计划。针对台湾青年不同群体，组织实施学习交流、研学旅行、社团结对、体验对接、创业帮扶等活动，大力推动海峡两岸百名博士（硕士）研究生来榕社会实践，实现两岸人才交流的常态化。</w:t>
      </w:r>
    </w:p>
    <w:p w14:paraId="2B13D423">
      <w:pPr>
        <w:spacing w:line="600" w:lineRule="exact"/>
        <w:ind w:firstLine="636" w:firstLineChars="200"/>
        <w:rPr>
          <w:rFonts w:hAnsi="仿宋"/>
          <w:szCs w:val="32"/>
        </w:rPr>
      </w:pPr>
      <w:r>
        <w:rPr>
          <w:rFonts w:hint="eastAsia" w:hAnsi="仿宋"/>
          <w:b/>
          <w:bCs/>
          <w:szCs w:val="32"/>
        </w:rPr>
        <w:t>推进闽东北区域协同创新。</w:t>
      </w:r>
      <w:r>
        <w:rPr>
          <w:rFonts w:hint="eastAsia" w:hAnsi="仿宋"/>
          <w:szCs w:val="32"/>
        </w:rPr>
        <w:t>发挥省会中心城市资源优势，加强省、市共建，进一步聚合省、市人才资源，合力打造闽都人才集聚区。推进闽东北协同发展区建设，加强基础设施互联互通、促进优势产业互补、持续深化山海协作、强化生态协同保护、推进社会资源共享，重点依托福州硬件资源和大都市圈信息化、大数据等方面优势，拓宽城市间流动空间，促进人力资源等要素双向流动、平等交换、合理配置。</w:t>
      </w:r>
    </w:p>
    <w:p w14:paraId="412E100F">
      <w:pPr>
        <w:spacing w:line="600" w:lineRule="exact"/>
        <w:ind w:firstLine="636" w:firstLineChars="200"/>
        <w:rPr>
          <w:rFonts w:hAnsi="仿宋"/>
          <w:szCs w:val="32"/>
        </w:rPr>
      </w:pPr>
      <w:r>
        <w:rPr>
          <w:rFonts w:hint="eastAsia" w:hAnsi="仿宋"/>
          <w:b/>
          <w:bCs/>
          <w:szCs w:val="32"/>
        </w:rPr>
        <w:t>推动中国东南（福建）科学城建设。</w:t>
      </w:r>
      <w:r>
        <w:rPr>
          <w:rFonts w:hint="eastAsia" w:hAnsi="仿宋"/>
          <w:szCs w:val="32"/>
        </w:rPr>
        <w:t>加强校城深度融合，强化大学城基础教育服务保障，提升校园周边环境，建设绿色生态学城。推进产学研深度融合，落实实施高校产学研联合创新项目支持政策，充分发挥高校的科研优势、人才优势，为我市创新发展提供有力支撑。推动高校之间、产业之间资源共享、协同创新，搭建大平台、牵线大企业、策划大项目，有效对接行业、企业关键技术需求，开展科研项目联合攻关，促进高校创新成果直接向企业转化扩散，加快形成现实生产力。深化市校企三方合作引才模式，以“政府搭台、企业引才、高校进编”的模式充分发挥校企科研和实践优势。面向福州产业发展需求构建人才培养体系，加强大学城紧缺急需人才专业设置，大力培养应用型人才。</w:t>
      </w:r>
    </w:p>
    <w:p w14:paraId="4DBA5951">
      <w:pPr>
        <w:spacing w:line="600" w:lineRule="exact"/>
        <w:ind w:firstLine="636" w:firstLineChars="200"/>
        <w:rPr>
          <w:szCs w:val="32"/>
        </w:rPr>
      </w:pPr>
      <w:r>
        <w:rPr>
          <w:rFonts w:hint="eastAsia" w:hAnsi="仿宋"/>
          <w:b/>
          <w:bCs/>
          <w:szCs w:val="32"/>
        </w:rPr>
        <w:t>推动福州新区人才发展。</w:t>
      </w:r>
      <w:r>
        <w:rPr>
          <w:rFonts w:hint="eastAsia" w:hAnsi="仿宋"/>
          <w:szCs w:val="32"/>
        </w:rPr>
        <w:t>推动福州新区人才引进、培养、使用、评价、激励等机制创新，指导福州新区制定高层次人才评价认定标准和高层次人才配套奖励政策。按照“错位配套、分别支持”原则，指导福州新区根据区内用人主体需求，制定出台支持基础性、技能型、实用型急需紧缺人才的政策。加快推动优质教育、医疗、文化、养老等社会事业和民生重大项目布局，加快人才保障住房项目建设，不断集聚人气汇聚人才，把福州新区打造成为人力资源发展的样板。</w:t>
      </w:r>
    </w:p>
    <w:p w14:paraId="523DCF80">
      <w:pPr>
        <w:spacing w:line="520" w:lineRule="exact"/>
        <w:ind w:firstLine="596" w:firstLineChars="200"/>
        <w:rPr>
          <w:rFonts w:hAnsi="仿宋" w:eastAsia="宋体"/>
          <w:b/>
          <w:bCs/>
          <w:sz w:val="30"/>
          <w:szCs w:val="30"/>
        </w:rPr>
      </w:pPr>
    </w:p>
    <w:p w14:paraId="0F90EE14">
      <w:pPr>
        <w:pStyle w:val="3"/>
        <w:spacing w:line="520" w:lineRule="exact"/>
        <w:rPr>
          <w:rFonts w:ascii="黑体" w:hAnsi="黑体" w:eastAsia="黑体"/>
          <w:b w:val="0"/>
          <w:bCs w:val="0"/>
          <w:sz w:val="32"/>
          <w:szCs w:val="32"/>
        </w:rPr>
      </w:pPr>
      <w:r>
        <w:rPr>
          <w:rFonts w:hint="eastAsia" w:ascii="黑体" w:hAnsi="黑体" w:eastAsia="黑体"/>
          <w:b w:val="0"/>
          <w:bCs w:val="0"/>
          <w:sz w:val="32"/>
          <w:szCs w:val="32"/>
        </w:rPr>
        <w:t>第四节 大力发展人力资源服务业</w:t>
      </w:r>
    </w:p>
    <w:p w14:paraId="2C3722E1">
      <w:pPr>
        <w:spacing w:line="520" w:lineRule="exact"/>
        <w:ind w:firstLine="596" w:firstLineChars="200"/>
        <w:rPr>
          <w:b/>
          <w:bCs/>
          <w:sz w:val="30"/>
          <w:szCs w:val="30"/>
        </w:rPr>
      </w:pPr>
    </w:p>
    <w:p w14:paraId="2E7A6F86">
      <w:pPr>
        <w:spacing w:line="600" w:lineRule="exact"/>
        <w:ind w:firstLine="636" w:firstLineChars="200"/>
        <w:rPr>
          <w:szCs w:val="32"/>
        </w:rPr>
      </w:pPr>
      <w:r>
        <w:rPr>
          <w:rFonts w:hint="eastAsia"/>
          <w:b/>
          <w:bCs/>
          <w:szCs w:val="32"/>
        </w:rPr>
        <w:t>建设统一规范的人力资源市场。</w:t>
      </w:r>
      <w:r>
        <w:rPr>
          <w:rFonts w:hint="eastAsia"/>
          <w:szCs w:val="32"/>
        </w:rPr>
        <w:t>打破城乡、地区、行业分割和身份、性别歧视，维护劳动者平等就业权利。增强劳动力市场灵活性，促进劳动力在地区、行业、企业之间自由流动。规范招人用人制度，尊重劳动者和用人单位市场主体地位，消除影响平等就业的制度障碍和就业歧视。</w:t>
      </w:r>
    </w:p>
    <w:p w14:paraId="78300D83">
      <w:pPr>
        <w:spacing w:line="600" w:lineRule="exact"/>
        <w:ind w:firstLine="636" w:firstLineChars="200"/>
        <w:rPr>
          <w:rFonts w:hAnsi="仿宋"/>
          <w:szCs w:val="32"/>
        </w:rPr>
      </w:pPr>
      <w:r>
        <w:rPr>
          <w:rFonts w:hint="eastAsia" w:hAnsi="仿宋"/>
          <w:b/>
          <w:bCs/>
          <w:szCs w:val="32"/>
        </w:rPr>
        <w:t>推动建设一批人力资源服务产业园。</w:t>
      </w:r>
      <w:r>
        <w:rPr>
          <w:rFonts w:hint="eastAsia" w:hAnsi="仿宋"/>
          <w:szCs w:val="32"/>
        </w:rPr>
        <w:t>贯彻落实《关于推进新时代人力资源服务业高质量发展的意见》《福建省人力资源市场条例》，制定我市人力资源产业园管理办法，营造较为完备的人力资源服务业发展环境。鼓励各县（市）区建设人力资源服务产业园，引进国内外知名人力资源服务机构，充分发挥市场作用，精准对接我市重点产业、企业人才需求。对入选我市人力资源服务产业园和经我市申报入选省人力资源服务产业园的，给予一次性建园奖励。通过积极参加或筹办人力资源服务大赛，推动人力资源服务业提升。落实对从市外新引进的人力资源服务企业和现有的规上人力资源服务企业给予一定财政奖励政策。鼓励和支持人力资源服务机构扩大规模，完善全链条产业服务，实现创新、跨越式发展，打造实力雄厚、影响力大、核心竞争力强的人力资源服务机构。</w:t>
      </w:r>
    </w:p>
    <w:p w14:paraId="030C4F3C">
      <w:pPr>
        <w:pStyle w:val="2"/>
        <w:spacing w:after="0" w:line="520" w:lineRule="exact"/>
      </w:pPr>
    </w:p>
    <w:p w14:paraId="47120CA2">
      <w:pPr>
        <w:pStyle w:val="3"/>
        <w:spacing w:line="520" w:lineRule="exact"/>
        <w:rPr>
          <w:rFonts w:ascii="黑体" w:hAnsi="黑体" w:eastAsia="黑体"/>
          <w:b w:val="0"/>
          <w:bCs w:val="0"/>
          <w:sz w:val="32"/>
          <w:szCs w:val="32"/>
        </w:rPr>
      </w:pPr>
      <w:r>
        <w:rPr>
          <w:rFonts w:hint="eastAsia" w:ascii="黑体" w:hAnsi="黑体" w:eastAsia="黑体"/>
          <w:b w:val="0"/>
          <w:bCs w:val="0"/>
          <w:sz w:val="32"/>
          <w:szCs w:val="32"/>
        </w:rPr>
        <w:t>第五节 营造人才干事创业的良好环境</w:t>
      </w:r>
    </w:p>
    <w:p w14:paraId="397EBE2B">
      <w:pPr>
        <w:spacing w:line="520" w:lineRule="exact"/>
        <w:ind w:firstLine="596" w:firstLineChars="200"/>
        <w:rPr>
          <w:rFonts w:hAnsi="仿宋"/>
          <w:b/>
          <w:bCs/>
          <w:sz w:val="30"/>
          <w:szCs w:val="30"/>
        </w:rPr>
      </w:pPr>
    </w:p>
    <w:p w14:paraId="5FC3AB7B">
      <w:pPr>
        <w:spacing w:line="600" w:lineRule="exact"/>
        <w:ind w:firstLine="636" w:firstLineChars="200"/>
        <w:rPr>
          <w:rFonts w:hAnsi="仿宋"/>
          <w:b/>
          <w:bCs/>
          <w:szCs w:val="32"/>
        </w:rPr>
      </w:pPr>
      <w:r>
        <w:rPr>
          <w:rFonts w:hint="eastAsia" w:hAnsi="仿宋"/>
          <w:b/>
          <w:bCs/>
          <w:szCs w:val="32"/>
        </w:rPr>
        <w:t>加快实施人才安居工程。</w:t>
      </w:r>
      <w:r>
        <w:rPr>
          <w:rFonts w:hint="eastAsia" w:hAnsi="仿宋"/>
          <w:szCs w:val="32"/>
        </w:rPr>
        <w:t>推进人才公寓和产业园区配套住房建设工作，</w:t>
      </w:r>
      <w:r>
        <w:rPr>
          <w:rFonts w:hAnsi="仿宋"/>
          <w:szCs w:val="32"/>
        </w:rPr>
        <w:t>在地铁等交通便利地方、农村集体的建设用地、有条件的工业园区内、各县落地的大项目等，规划若干地块，由政府和企业共同组织实施建设人才公租房或职工宿舍。</w:t>
      </w:r>
      <w:r>
        <w:rPr>
          <w:rFonts w:hint="eastAsia" w:hAnsi="仿宋"/>
          <w:szCs w:val="32"/>
        </w:rPr>
        <w:t>对已建成的各类产业园区，由各县（市）区通过资源整合、旧城改造、购买租赁等方式，在产业园区周围配套一定数量的人才安居住房。对正在规划和建设的各类产业园区和大项目，要同步规划人才安居住房，推动形成产业集聚、人才荟萃、生活便利、功能完善的城市化区域。盘活现有空置的国有房源，打造一批台湾青年人才公寓，试点建设台湾人才居住社区。建立健全人才安居工程考核评价机制，</w:t>
      </w:r>
      <w:r>
        <w:rPr>
          <w:rFonts w:hAnsi="仿宋"/>
          <w:szCs w:val="32"/>
        </w:rPr>
        <w:t>将人才公寓人才用房列入县（市）区人才考核项目</w:t>
      </w:r>
      <w:r>
        <w:rPr>
          <w:rFonts w:hint="eastAsia" w:hAnsi="仿宋"/>
          <w:szCs w:val="32"/>
        </w:rPr>
        <w:t>。</w:t>
      </w:r>
    </w:p>
    <w:p w14:paraId="25CB0A66">
      <w:pPr>
        <w:spacing w:line="600" w:lineRule="exact"/>
        <w:ind w:firstLine="636" w:firstLineChars="200"/>
        <w:rPr>
          <w:rFonts w:hAnsi="仿宋"/>
          <w:szCs w:val="32"/>
        </w:rPr>
      </w:pPr>
      <w:r>
        <w:rPr>
          <w:rFonts w:hint="eastAsia" w:hAnsi="仿宋"/>
          <w:b/>
          <w:bCs/>
          <w:szCs w:val="32"/>
        </w:rPr>
        <w:t>启动人才向基层流动工程。</w:t>
      </w:r>
      <w:r>
        <w:rPr>
          <w:rFonts w:hint="eastAsia" w:hAnsi="仿宋"/>
          <w:szCs w:val="32"/>
        </w:rPr>
        <w:t>进一步降低基层招聘门槛，县（市）区合理制定和发布当地事业单位公开招聘紧缺急需目录，按规定采用简捷有效方式招聘人才，对报考人数不足的急需紧缺岗位，可降低开考比例。承担基层服务项目招募任务的县（市）区，在开展事业单位招聘时可拿出一定比例岗位，采取“专门岗位”或“专项招聘”方式，面向期满人员招聘。进一步优化基层岗位设置，推进义务教育学校教师“县管校聘”体制机制改革，实行岗位总量控制、动态调整；推进县域医共体运行机制改革，探索岗位“县管乡用”。对长期在基层一线和艰苦边远地区工作的人才，加大爱岗敬业表现、实际工作业绩、工作年限等评价权重。加大基层激励力度，落实乡镇工作补贴、乡村教师生活补助、农村卫生院卫技人员奖励等政策，进一步提高基层工作人员收入水平。</w:t>
      </w:r>
    </w:p>
    <w:p w14:paraId="3A0A9CC6">
      <w:pPr>
        <w:spacing w:line="600" w:lineRule="exact"/>
        <w:ind w:firstLine="636" w:firstLineChars="200"/>
        <w:rPr>
          <w:rFonts w:hAnsi="仿宋"/>
          <w:szCs w:val="32"/>
        </w:rPr>
      </w:pPr>
      <w:r>
        <w:rPr>
          <w:rFonts w:hint="eastAsia" w:hAnsi="仿宋"/>
          <w:b/>
          <w:bCs/>
          <w:szCs w:val="32"/>
        </w:rPr>
        <w:t>启动全方位保姆式人才服务工程。</w:t>
      </w:r>
      <w:r>
        <w:rPr>
          <w:rFonts w:hint="eastAsia" w:hAnsi="仿宋"/>
          <w:szCs w:val="32"/>
        </w:rPr>
        <w:t>进一步强化人才服务力量，优化人才服务环境，升级闽都英才卡、闽都博士卡服务体系。推进人才驿站建设，每个县（市）区至少建设一家综合性人才驿站、一家专业性人才驿站，把人才服务窗口前置、关口下移，使其成为人才信息的收集站、人才资料的中转站、人才活动的承办站、政企对接的联系站。扩大人才之家的规模，组织人才开展联谊、文化交流等活动，帮助外地人才尽快融入福州。建立健全人才服务专员、一站式服务等机制，对引进的高层次人才，要有温度、有力度，带着感情、真情帮助人才解决问题、融入当地，共同营造有利于人才发展的良好生态。</w:t>
      </w:r>
    </w:p>
    <w:p w14:paraId="02388FD4">
      <w:pPr>
        <w:spacing w:line="600" w:lineRule="exact"/>
        <w:ind w:firstLine="636" w:firstLineChars="200"/>
        <w:rPr>
          <w:rFonts w:hAnsi="仿宋"/>
          <w:szCs w:val="32"/>
        </w:rPr>
      </w:pPr>
      <w:r>
        <w:rPr>
          <w:rFonts w:hint="eastAsia" w:hAnsi="仿宋"/>
          <w:b/>
          <w:bCs/>
          <w:szCs w:val="32"/>
        </w:rPr>
        <w:t>启动人才后代后院工程。</w:t>
      </w:r>
      <w:r>
        <w:rPr>
          <w:rFonts w:hint="eastAsia" w:hAnsi="仿宋"/>
          <w:szCs w:val="32"/>
        </w:rPr>
        <w:t>鼓励高等院校、科研院所与政府合作举办公办性质的中小学校。支持大型企事业单位开办普惠性幼儿园，提供广覆盖、保基本的学前教育公共服务。支持和规范社会力量兴办教育，鼓励社会力量通过独资、合资、合作等形式办普惠性幼儿园以及高中阶段学校。引进的省级及以上高层次人才的配偶工作安排保持原单位编制性质和职级。</w:t>
      </w:r>
    </w:p>
    <w:p w14:paraId="0B7B28F5">
      <w:pPr>
        <w:spacing w:line="600" w:lineRule="exact"/>
        <w:ind w:firstLine="636" w:firstLineChars="200"/>
        <w:rPr>
          <w:rFonts w:hAnsi="仿宋"/>
          <w:szCs w:val="32"/>
        </w:rPr>
      </w:pPr>
      <w:r>
        <w:rPr>
          <w:rFonts w:hint="eastAsia" w:hAnsi="仿宋"/>
          <w:b/>
          <w:bCs/>
          <w:szCs w:val="32"/>
        </w:rPr>
        <w:t>启动人才健康工程。</w:t>
      </w:r>
      <w:r>
        <w:rPr>
          <w:rFonts w:hint="eastAsia" w:hAnsi="仿宋"/>
          <w:szCs w:val="32"/>
        </w:rPr>
        <w:t>优先</w:t>
      </w:r>
      <w:r>
        <w:rPr>
          <w:rFonts w:hAnsi="仿宋"/>
          <w:szCs w:val="32"/>
        </w:rPr>
        <w:t>在未来城市发展重点区域和交通便利的外围区域布局医院，</w:t>
      </w:r>
      <w:r>
        <w:rPr>
          <w:rFonts w:hint="eastAsia" w:hAnsi="仿宋"/>
          <w:szCs w:val="32"/>
        </w:rPr>
        <w:t>建成</w:t>
      </w:r>
      <w:r>
        <w:rPr>
          <w:rFonts w:hAnsi="仿宋"/>
          <w:szCs w:val="32"/>
        </w:rPr>
        <w:t>主城区15分钟医疗卫生服务圈，扩大优质医院辐射能力。</w:t>
      </w:r>
      <w:r>
        <w:rPr>
          <w:rFonts w:hint="eastAsia" w:hAnsi="仿宋"/>
          <w:szCs w:val="32"/>
        </w:rPr>
        <w:t>在部分重点医院设立就医绿色通道，为省级以上领军人才、外籍人才建立个人健康档案，提供预约诊疗和导医服务等全程服务。</w:t>
      </w:r>
    </w:p>
    <w:p w14:paraId="42D0F3C9">
      <w:pPr>
        <w:spacing w:line="460" w:lineRule="exact"/>
        <w:jc w:val="center"/>
        <w:rPr>
          <w:rFonts w:ascii="仿宋" w:hAnsi="仿宋" w:eastAsia="仿宋"/>
          <w:b/>
          <w:sz w:val="30"/>
          <w:szCs w:val="30"/>
        </w:rPr>
      </w:pPr>
      <w:r>
        <w:rPr>
          <w:rFonts w:hint="eastAsia" w:ascii="仿宋" w:hAnsi="仿宋" w:eastAsia="仿宋"/>
          <w:b/>
          <w:sz w:val="30"/>
          <w:szCs w:val="30"/>
        </w:rPr>
        <w:t>专栏7：实施人才强市工程</w:t>
      </w:r>
    </w:p>
    <w:tbl>
      <w:tblPr>
        <w:tblStyle w:val="16"/>
        <w:tblW w:w="8923"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540"/>
        <w:gridCol w:w="8383"/>
      </w:tblGrid>
      <w:tr w14:paraId="5F74F05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79" w:hRule="atLeast"/>
          <w:jc w:val="center"/>
        </w:trPr>
        <w:tc>
          <w:tcPr>
            <w:tcW w:w="540" w:type="dxa"/>
            <w:tcBorders>
              <w:top w:val="single" w:color="000000" w:sz="6" w:space="0"/>
              <w:left w:val="single" w:color="000000" w:sz="6" w:space="0"/>
              <w:bottom w:val="single" w:color="auto" w:sz="4" w:space="0"/>
              <w:right w:val="single" w:color="000000" w:sz="6" w:space="0"/>
            </w:tcBorders>
            <w:tcMar>
              <w:top w:w="30" w:type="dxa"/>
              <w:left w:w="45" w:type="dxa"/>
              <w:bottom w:w="30" w:type="dxa"/>
              <w:right w:w="45" w:type="dxa"/>
            </w:tcMar>
          </w:tcPr>
          <w:p w14:paraId="08AC1FCE">
            <w:pPr>
              <w:spacing w:line="400" w:lineRule="exact"/>
              <w:jc w:val="left"/>
              <w:rPr>
                <w:rFonts w:ascii="楷体" w:hAnsi="楷体" w:eastAsia="楷体" w:cs="楷体"/>
                <w:kern w:val="0"/>
                <w:sz w:val="28"/>
                <w:szCs w:val="28"/>
              </w:rPr>
            </w:pPr>
            <w:r>
              <w:rPr>
                <w:rFonts w:hint="eastAsia" w:ascii="楷体" w:hAnsi="楷体" w:eastAsia="楷体" w:cs="楷体"/>
                <w:b/>
                <w:bCs/>
                <w:kern w:val="0"/>
                <w:sz w:val="28"/>
                <w:szCs w:val="28"/>
              </w:rPr>
              <w:t>01</w:t>
            </w: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209CF67">
            <w:pPr>
              <w:widowControl/>
              <w:spacing w:line="300" w:lineRule="exact"/>
              <w:jc w:val="left"/>
              <w:rPr>
                <w:rFonts w:ascii="楷体" w:hAnsi="楷体" w:eastAsia="楷体" w:cs="楷体"/>
                <w:kern w:val="0"/>
                <w:sz w:val="28"/>
                <w:szCs w:val="28"/>
              </w:rPr>
            </w:pPr>
            <w:r>
              <w:rPr>
                <w:rFonts w:hint="eastAsia" w:ascii="楷体" w:hAnsi="楷体" w:eastAsia="楷体" w:cs="楷体"/>
                <w:b/>
                <w:bCs/>
                <w:sz w:val="28"/>
                <w:szCs w:val="28"/>
              </w:rPr>
              <w:t>打好“好年华·聚福州”引才品牌</w:t>
            </w:r>
          </w:p>
        </w:tc>
      </w:tr>
      <w:tr w14:paraId="5E19289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932" w:hRule="atLeast"/>
          <w:jc w:val="center"/>
        </w:trPr>
        <w:tc>
          <w:tcPr>
            <w:tcW w:w="540" w:type="dxa"/>
            <w:tcBorders>
              <w:top w:val="single" w:color="auto" w:sz="4" w:space="0"/>
              <w:left w:val="single" w:color="000000" w:sz="6" w:space="0"/>
              <w:right w:val="single" w:color="000000" w:sz="6" w:space="0"/>
            </w:tcBorders>
            <w:tcMar>
              <w:top w:w="30" w:type="dxa"/>
              <w:left w:w="45" w:type="dxa"/>
              <w:bottom w:w="30" w:type="dxa"/>
              <w:right w:w="45" w:type="dxa"/>
            </w:tcMar>
          </w:tcPr>
          <w:p w14:paraId="0730E1FF">
            <w:pPr>
              <w:widowControl/>
              <w:spacing w:line="400" w:lineRule="exact"/>
              <w:jc w:val="left"/>
              <w:rPr>
                <w:rFonts w:ascii="楷体" w:hAnsi="楷体" w:eastAsia="楷体" w:cs="楷体"/>
                <w:kern w:val="0"/>
                <w:sz w:val="28"/>
                <w:szCs w:val="28"/>
              </w:rPr>
            </w:pPr>
          </w:p>
          <w:p w14:paraId="1DFEDA8A">
            <w:pPr>
              <w:spacing w:line="400" w:lineRule="exact"/>
              <w:jc w:val="left"/>
              <w:rPr>
                <w:rFonts w:ascii="楷体" w:hAnsi="楷体" w:eastAsia="楷体" w:cs="楷体"/>
                <w:kern w:val="0"/>
                <w:sz w:val="28"/>
                <w:szCs w:val="28"/>
              </w:rPr>
            </w:pPr>
          </w:p>
        </w:tc>
        <w:tc>
          <w:tcPr>
            <w:tcW w:w="8383" w:type="dxa"/>
            <w:tcBorders>
              <w:top w:val="single" w:color="000000" w:sz="6" w:space="0"/>
              <w:left w:val="single" w:color="000000" w:sz="6" w:space="0"/>
              <w:right w:val="single" w:color="000000" w:sz="6" w:space="0"/>
            </w:tcBorders>
            <w:tcMar>
              <w:top w:w="30" w:type="dxa"/>
              <w:left w:w="45" w:type="dxa"/>
              <w:bottom w:w="30" w:type="dxa"/>
              <w:right w:w="45" w:type="dxa"/>
            </w:tcMar>
          </w:tcPr>
          <w:p w14:paraId="74E56FC2">
            <w:pPr>
              <w:spacing w:line="300" w:lineRule="exact"/>
              <w:ind w:firstLine="0" w:firstLineChars="0"/>
              <w:rPr>
                <w:rFonts w:ascii="楷体" w:hAnsi="楷体" w:eastAsia="楷体" w:cs="楷体"/>
                <w:kern w:val="0"/>
                <w:sz w:val="28"/>
                <w:szCs w:val="28"/>
              </w:rPr>
            </w:pPr>
            <w:r>
              <w:rPr>
                <w:rFonts w:hint="eastAsia" w:ascii="楷体_GB2312" w:hAnsi="仿宋" w:eastAsia="楷体_GB2312"/>
                <w:sz w:val="28"/>
                <w:szCs w:val="28"/>
                <w:lang w:val="en-US" w:eastAsia="zh-CN"/>
              </w:rPr>
              <w:t xml:space="preserve">    </w:t>
            </w:r>
            <w:r>
              <w:rPr>
                <w:rFonts w:hint="eastAsia" w:ascii="楷体_GB2312" w:hAnsi="仿宋" w:eastAsia="楷体_GB2312"/>
                <w:sz w:val="28"/>
                <w:szCs w:val="28"/>
              </w:rPr>
              <w:t>将“好年华</w:t>
            </w:r>
            <w:r>
              <w:rPr>
                <w:rFonts w:hint="eastAsia" w:ascii="楷体_GB2312" w:hAnsi="仿宋" w:eastAsia="楷体_GB2312"/>
                <w:b/>
                <w:sz w:val="28"/>
                <w:szCs w:val="28"/>
              </w:rPr>
              <w:t>·</w:t>
            </w:r>
            <w:r>
              <w:rPr>
                <w:rFonts w:hint="eastAsia" w:ascii="楷体_GB2312" w:hAnsi="仿宋" w:eastAsia="楷体_GB2312"/>
                <w:sz w:val="28"/>
                <w:szCs w:val="28"/>
              </w:rPr>
              <w:t>聚福州”作为我市引才特色品牌，精心打造、持续做强，重点开展“好年华</w:t>
            </w:r>
            <w:r>
              <w:rPr>
                <w:rFonts w:hint="eastAsia" w:ascii="楷体_GB2312" w:hAnsi="仿宋" w:eastAsia="楷体_GB2312"/>
                <w:b/>
                <w:sz w:val="28"/>
                <w:szCs w:val="28"/>
              </w:rPr>
              <w:t>·</w:t>
            </w:r>
            <w:r>
              <w:rPr>
                <w:rFonts w:hint="eastAsia" w:ascii="楷体_GB2312" w:hAnsi="仿宋" w:eastAsia="楷体_GB2312"/>
                <w:sz w:val="28"/>
                <w:szCs w:val="28"/>
              </w:rPr>
              <w:t>聚福州”校园（秋季）招聘会、高校毕生双选会、高校毕业生暑期社会实践等系列人才招聘、实践活动。启动大学生留榕兴业工程，跟踪培养并吸引优秀榕籍学子回归榕城建设家乡，出台留住本地高校毕业生的针对性政策，完善便捷落户、薪酬保障、购房租房等普惠措施，为大学生留榕兴业夯实基础。</w:t>
            </w:r>
          </w:p>
        </w:tc>
      </w:tr>
      <w:tr w14:paraId="475978A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96"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F362182">
            <w:pPr>
              <w:widowControl/>
              <w:spacing w:line="300" w:lineRule="exact"/>
              <w:jc w:val="left"/>
              <w:rPr>
                <w:rFonts w:ascii="楷体" w:hAnsi="楷体" w:eastAsia="楷体" w:cs="楷体"/>
                <w:kern w:val="0"/>
                <w:sz w:val="28"/>
                <w:szCs w:val="28"/>
              </w:rPr>
            </w:pPr>
            <w:r>
              <w:rPr>
                <w:rFonts w:hint="eastAsia" w:ascii="楷体" w:hAnsi="楷体" w:eastAsia="楷体" w:cs="楷体"/>
                <w:b/>
                <w:bCs/>
                <w:kern w:val="0"/>
                <w:sz w:val="28"/>
                <w:szCs w:val="28"/>
              </w:rPr>
              <w:t>02</w:t>
            </w: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BFC443C">
            <w:pPr>
              <w:widowControl/>
              <w:spacing w:line="300" w:lineRule="exact"/>
              <w:jc w:val="left"/>
              <w:rPr>
                <w:rFonts w:ascii="楷体" w:hAnsi="楷体" w:eastAsia="楷体" w:cs="楷体"/>
                <w:sz w:val="28"/>
                <w:szCs w:val="28"/>
              </w:rPr>
            </w:pPr>
            <w:r>
              <w:rPr>
                <w:rFonts w:hint="eastAsia" w:ascii="楷体" w:hAnsi="楷体" w:eastAsia="楷体" w:cs="楷体"/>
                <w:b/>
                <w:bCs/>
                <w:sz w:val="28"/>
                <w:szCs w:val="28"/>
              </w:rPr>
              <w:t>留学生创业创新工程</w:t>
            </w:r>
          </w:p>
        </w:tc>
      </w:tr>
      <w:tr w14:paraId="3CB046A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CEADC3E">
            <w:pPr>
              <w:widowControl/>
              <w:spacing w:line="300" w:lineRule="exact"/>
              <w:ind w:firstLine="480"/>
              <w:jc w:val="left"/>
              <w:rPr>
                <w:rFonts w:ascii="楷体" w:hAnsi="楷体" w:eastAsia="楷体" w:cs="楷体"/>
                <w:kern w:val="0"/>
                <w:sz w:val="28"/>
                <w:szCs w:val="28"/>
              </w:rPr>
            </w:pP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3CBA3D3">
            <w:pPr>
              <w:spacing w:line="300" w:lineRule="exact"/>
              <w:ind w:firstLine="556" w:firstLineChars="200"/>
              <w:rPr>
                <w:rFonts w:ascii="楷体_GB2312" w:hAnsi="仿宋" w:eastAsia="楷体_GB2312"/>
                <w:sz w:val="28"/>
                <w:szCs w:val="28"/>
              </w:rPr>
            </w:pPr>
            <w:r>
              <w:rPr>
                <w:rFonts w:hint="eastAsia" w:ascii="楷体_GB2312" w:hAnsi="仿宋" w:eastAsia="楷体_GB2312"/>
                <w:sz w:val="28"/>
                <w:szCs w:val="28"/>
              </w:rPr>
              <w:t>依托中国福州留学人员创业园及分园建设，不断完善留学生管理服务体系，营造有利于留学人才引用留良好环境。积极对接落实海外优秀青年来闽学术交流支持计划，力争吸引更多海外优秀青年来榕开展学术交流，为后续引进、开展合作创造条件。</w:t>
            </w:r>
          </w:p>
        </w:tc>
      </w:tr>
      <w:tr w14:paraId="095CDA9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96"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39D6342">
            <w:pPr>
              <w:widowControl/>
              <w:spacing w:line="300" w:lineRule="exact"/>
              <w:jc w:val="left"/>
              <w:rPr>
                <w:rFonts w:ascii="楷体" w:hAnsi="楷体" w:eastAsia="楷体" w:cs="楷体"/>
                <w:kern w:val="0"/>
                <w:sz w:val="28"/>
                <w:szCs w:val="28"/>
              </w:rPr>
            </w:pPr>
            <w:r>
              <w:rPr>
                <w:rFonts w:hint="eastAsia" w:ascii="楷体" w:hAnsi="楷体" w:eastAsia="楷体" w:cs="楷体"/>
                <w:b/>
                <w:bCs/>
                <w:kern w:val="0"/>
                <w:sz w:val="28"/>
                <w:szCs w:val="28"/>
              </w:rPr>
              <w:t>03</w:t>
            </w: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FAD9E1B">
            <w:pPr>
              <w:widowControl/>
              <w:spacing w:line="300" w:lineRule="exact"/>
              <w:jc w:val="left"/>
              <w:rPr>
                <w:rFonts w:ascii="楷体" w:hAnsi="楷体" w:eastAsia="楷体" w:cs="楷体"/>
                <w:sz w:val="28"/>
                <w:szCs w:val="28"/>
              </w:rPr>
            </w:pPr>
            <w:r>
              <w:rPr>
                <w:rFonts w:hint="eastAsia" w:ascii="楷体" w:hAnsi="楷体" w:eastAsia="楷体" w:cs="楷体"/>
                <w:b/>
                <w:bCs/>
                <w:sz w:val="28"/>
                <w:szCs w:val="28"/>
              </w:rPr>
              <w:t>产业人才集聚工程</w:t>
            </w:r>
          </w:p>
        </w:tc>
      </w:tr>
      <w:tr w14:paraId="671D00F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A45DB2C">
            <w:pPr>
              <w:widowControl/>
              <w:spacing w:line="300" w:lineRule="exact"/>
              <w:ind w:firstLine="480"/>
              <w:jc w:val="left"/>
              <w:rPr>
                <w:rFonts w:ascii="楷体" w:hAnsi="楷体" w:eastAsia="楷体" w:cs="楷体"/>
                <w:kern w:val="0"/>
                <w:sz w:val="28"/>
                <w:szCs w:val="28"/>
              </w:rPr>
            </w:pP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88A45B9">
            <w:pPr>
              <w:spacing w:line="300" w:lineRule="exact"/>
              <w:ind w:firstLine="556" w:firstLineChars="200"/>
              <w:rPr>
                <w:rFonts w:ascii="楷体" w:hAnsi="楷体" w:eastAsia="楷体" w:cs="楷体"/>
                <w:kern w:val="0"/>
                <w:sz w:val="28"/>
                <w:szCs w:val="28"/>
              </w:rPr>
            </w:pPr>
            <w:r>
              <w:rPr>
                <w:rFonts w:hint="eastAsia" w:ascii="楷体_GB2312" w:hAnsi="仿宋" w:eastAsia="楷体_GB2312"/>
                <w:sz w:val="28"/>
                <w:szCs w:val="28"/>
              </w:rPr>
              <w:t>将纺织、光电、机械、石化等支柱产业和智能制造、新能源、数字经济等战略性新兴产业人才纳入中长期发展规划，打造“引进一批人才、发展一大产业、培育一个经济增长点”的链式效应。</w:t>
            </w:r>
          </w:p>
        </w:tc>
      </w:tr>
      <w:tr w14:paraId="46D6E13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25198F0F">
            <w:pPr>
              <w:widowControl/>
              <w:spacing w:line="300" w:lineRule="exact"/>
              <w:jc w:val="left"/>
              <w:rPr>
                <w:rFonts w:ascii="楷体" w:hAnsi="楷体" w:eastAsia="楷体" w:cs="楷体"/>
                <w:kern w:val="0"/>
                <w:sz w:val="28"/>
                <w:szCs w:val="28"/>
              </w:rPr>
            </w:pPr>
            <w:r>
              <w:rPr>
                <w:rFonts w:hint="eastAsia" w:ascii="楷体" w:hAnsi="楷体" w:eastAsia="楷体" w:cs="楷体"/>
                <w:b/>
                <w:bCs/>
                <w:kern w:val="0"/>
                <w:sz w:val="28"/>
                <w:szCs w:val="28"/>
              </w:rPr>
              <w:t>04</w:t>
            </w: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104BC13">
            <w:pPr>
              <w:widowControl/>
              <w:spacing w:line="300" w:lineRule="exact"/>
              <w:jc w:val="left"/>
              <w:rPr>
                <w:rFonts w:ascii="楷体" w:hAnsi="楷体" w:eastAsia="楷体" w:cs="楷体"/>
                <w:sz w:val="28"/>
                <w:szCs w:val="28"/>
              </w:rPr>
            </w:pPr>
            <w:r>
              <w:rPr>
                <w:rFonts w:hint="eastAsia" w:ascii="楷体" w:hAnsi="楷体" w:eastAsia="楷体" w:cs="楷体"/>
                <w:b/>
                <w:bCs/>
                <w:sz w:val="28"/>
                <w:szCs w:val="28"/>
              </w:rPr>
              <w:t>人才安居工程</w:t>
            </w:r>
          </w:p>
        </w:tc>
      </w:tr>
      <w:tr w14:paraId="5E9B885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C7D210B">
            <w:pPr>
              <w:widowControl/>
              <w:spacing w:line="300" w:lineRule="exact"/>
              <w:ind w:firstLine="480"/>
              <w:jc w:val="left"/>
              <w:rPr>
                <w:rFonts w:ascii="楷体" w:hAnsi="楷体" w:eastAsia="楷体" w:cs="楷体"/>
                <w:kern w:val="0"/>
                <w:sz w:val="28"/>
                <w:szCs w:val="28"/>
              </w:rPr>
            </w:pP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12B29E0">
            <w:pPr>
              <w:spacing w:line="300" w:lineRule="exact"/>
              <w:ind w:firstLine="556" w:firstLineChars="200"/>
              <w:rPr>
                <w:rFonts w:ascii="楷体_GB2312" w:hAnsi="仿宋" w:eastAsia="楷体_GB2312"/>
                <w:sz w:val="28"/>
                <w:szCs w:val="28"/>
              </w:rPr>
            </w:pPr>
            <w:r>
              <w:rPr>
                <w:rFonts w:hint="eastAsia" w:ascii="楷体_GB2312" w:hAnsi="仿宋" w:eastAsia="楷体_GB2312"/>
                <w:sz w:val="28"/>
                <w:szCs w:val="28"/>
              </w:rPr>
              <w:t>推进人才公寓和产业园区配套住房建设工作，试点建设台湾人才居住社区。建立健全人才安居工程考核评价机制，将实施人才安居工程情况纳入县（市、区）政府绩效考评内容。</w:t>
            </w:r>
          </w:p>
        </w:tc>
      </w:tr>
      <w:tr w14:paraId="3306E19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0CE46B2">
            <w:pPr>
              <w:widowControl/>
              <w:spacing w:line="300" w:lineRule="exact"/>
              <w:jc w:val="left"/>
              <w:rPr>
                <w:rFonts w:ascii="楷体" w:hAnsi="楷体" w:eastAsia="楷体" w:cs="楷体"/>
                <w:kern w:val="0"/>
                <w:sz w:val="28"/>
                <w:szCs w:val="28"/>
              </w:rPr>
            </w:pPr>
            <w:r>
              <w:rPr>
                <w:rFonts w:hint="eastAsia" w:ascii="楷体" w:hAnsi="楷体" w:eastAsia="楷体" w:cs="楷体"/>
                <w:b/>
                <w:bCs/>
                <w:kern w:val="0"/>
                <w:sz w:val="28"/>
                <w:szCs w:val="28"/>
              </w:rPr>
              <w:t>05</w:t>
            </w: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D3EEC85">
            <w:pPr>
              <w:widowControl/>
              <w:spacing w:line="300" w:lineRule="exact"/>
              <w:jc w:val="left"/>
              <w:rPr>
                <w:rFonts w:ascii="楷体" w:hAnsi="楷体" w:eastAsia="楷体" w:cs="楷体"/>
                <w:sz w:val="28"/>
                <w:szCs w:val="28"/>
              </w:rPr>
            </w:pPr>
            <w:r>
              <w:rPr>
                <w:rFonts w:hint="eastAsia" w:ascii="楷体" w:hAnsi="楷体" w:eastAsia="楷体" w:cs="楷体"/>
                <w:b/>
                <w:bCs/>
                <w:sz w:val="28"/>
                <w:szCs w:val="28"/>
              </w:rPr>
              <w:t>人才向基层流动工程</w:t>
            </w:r>
          </w:p>
        </w:tc>
      </w:tr>
      <w:tr w14:paraId="766E1DE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7CD406C">
            <w:pPr>
              <w:widowControl/>
              <w:spacing w:line="300" w:lineRule="exact"/>
              <w:ind w:firstLine="480"/>
              <w:jc w:val="left"/>
              <w:rPr>
                <w:rFonts w:ascii="楷体" w:hAnsi="楷体" w:eastAsia="楷体" w:cs="楷体"/>
                <w:kern w:val="0"/>
                <w:sz w:val="28"/>
                <w:szCs w:val="28"/>
              </w:rPr>
            </w:pP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1144FE1">
            <w:pPr>
              <w:spacing w:line="300" w:lineRule="exact"/>
              <w:ind w:firstLine="556" w:firstLineChars="200"/>
              <w:rPr>
                <w:rFonts w:ascii="楷体" w:hAnsi="楷体" w:eastAsia="楷体" w:cs="楷体"/>
                <w:kern w:val="0"/>
                <w:sz w:val="28"/>
                <w:szCs w:val="28"/>
              </w:rPr>
            </w:pPr>
            <w:r>
              <w:rPr>
                <w:rFonts w:hint="eastAsia" w:ascii="楷体_GB2312" w:hAnsi="仿宋" w:eastAsia="楷体_GB2312"/>
                <w:sz w:val="28"/>
                <w:szCs w:val="28"/>
              </w:rPr>
              <w:t>在卫生、义务教育和农业等领域通过政策倾斜、职称评聘，落实工资待遇和有关津贴、补贴政策等，鼓励人才向基层一线流动，支持乡村振兴建设。</w:t>
            </w:r>
          </w:p>
        </w:tc>
      </w:tr>
      <w:tr w14:paraId="179FA88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8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12B8C46">
            <w:pPr>
              <w:widowControl/>
              <w:spacing w:line="300" w:lineRule="exact"/>
              <w:jc w:val="left"/>
              <w:rPr>
                <w:rFonts w:ascii="楷体" w:hAnsi="楷体" w:eastAsia="楷体" w:cs="楷体"/>
                <w:kern w:val="0"/>
                <w:sz w:val="28"/>
                <w:szCs w:val="28"/>
              </w:rPr>
            </w:pPr>
            <w:r>
              <w:rPr>
                <w:rFonts w:hint="eastAsia" w:ascii="楷体" w:hAnsi="楷体" w:eastAsia="楷体" w:cs="楷体"/>
                <w:b/>
                <w:bCs/>
                <w:kern w:val="0"/>
                <w:sz w:val="28"/>
                <w:szCs w:val="28"/>
              </w:rPr>
              <w:t>06</w:t>
            </w: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F5DC661">
            <w:pPr>
              <w:widowControl/>
              <w:spacing w:line="300" w:lineRule="exact"/>
              <w:jc w:val="left"/>
              <w:rPr>
                <w:rFonts w:ascii="楷体" w:hAnsi="楷体" w:eastAsia="楷体" w:cs="楷体"/>
                <w:sz w:val="28"/>
                <w:szCs w:val="28"/>
              </w:rPr>
            </w:pPr>
            <w:r>
              <w:rPr>
                <w:rFonts w:hint="eastAsia" w:ascii="楷体" w:hAnsi="楷体" w:eastAsia="楷体" w:cs="楷体"/>
                <w:b/>
                <w:bCs/>
                <w:sz w:val="28"/>
                <w:szCs w:val="28"/>
              </w:rPr>
              <w:t>全方位保姆式人才服务工程</w:t>
            </w:r>
          </w:p>
        </w:tc>
      </w:tr>
      <w:tr w14:paraId="6E421D7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18F7701">
            <w:pPr>
              <w:widowControl/>
              <w:spacing w:line="300" w:lineRule="exact"/>
              <w:ind w:firstLine="480"/>
              <w:jc w:val="left"/>
              <w:rPr>
                <w:rFonts w:ascii="楷体" w:hAnsi="楷体" w:eastAsia="楷体" w:cs="楷体"/>
                <w:kern w:val="0"/>
                <w:sz w:val="28"/>
                <w:szCs w:val="28"/>
              </w:rPr>
            </w:pP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4AC67550">
            <w:pPr>
              <w:spacing w:line="300" w:lineRule="exact"/>
              <w:ind w:firstLine="556" w:firstLineChars="200"/>
              <w:rPr>
                <w:rFonts w:ascii="楷体" w:hAnsi="楷体" w:eastAsia="楷体" w:cs="楷体"/>
                <w:kern w:val="0"/>
                <w:sz w:val="28"/>
                <w:szCs w:val="28"/>
              </w:rPr>
            </w:pPr>
            <w:r>
              <w:rPr>
                <w:rFonts w:hint="eastAsia" w:ascii="楷体_GB2312" w:hAnsi="仿宋" w:eastAsia="楷体_GB2312"/>
                <w:sz w:val="28"/>
                <w:szCs w:val="28"/>
              </w:rPr>
              <w:t>强化人才服务力量，优化人才服务环境，升级闽都英才卡、闽都博士卡服务体系，推进人才驿站建设，建立健全人才服务专员、一站式服务等机制，共同营造有利于人才发展的良好生态。</w:t>
            </w:r>
          </w:p>
        </w:tc>
      </w:tr>
      <w:tr w14:paraId="724200E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5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161A69A">
            <w:pPr>
              <w:widowControl/>
              <w:spacing w:line="300" w:lineRule="exact"/>
              <w:jc w:val="left"/>
              <w:rPr>
                <w:rFonts w:ascii="楷体" w:hAnsi="楷体" w:eastAsia="楷体" w:cs="楷体"/>
                <w:kern w:val="0"/>
                <w:sz w:val="28"/>
                <w:szCs w:val="28"/>
              </w:rPr>
            </w:pPr>
            <w:r>
              <w:rPr>
                <w:rFonts w:hint="eastAsia" w:ascii="楷体" w:hAnsi="楷体" w:eastAsia="楷体" w:cs="楷体"/>
                <w:b/>
                <w:bCs/>
                <w:kern w:val="0"/>
                <w:sz w:val="28"/>
                <w:szCs w:val="28"/>
              </w:rPr>
              <w:t>07</w:t>
            </w: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9084B1E">
            <w:pPr>
              <w:widowControl/>
              <w:spacing w:line="300" w:lineRule="exact"/>
              <w:jc w:val="left"/>
              <w:rPr>
                <w:rFonts w:ascii="楷体" w:hAnsi="楷体" w:eastAsia="楷体" w:cs="楷体"/>
                <w:sz w:val="28"/>
                <w:szCs w:val="28"/>
              </w:rPr>
            </w:pPr>
            <w:r>
              <w:rPr>
                <w:rFonts w:hint="eastAsia" w:ascii="楷体" w:hAnsi="楷体" w:eastAsia="楷体" w:cs="楷体"/>
                <w:b/>
                <w:bCs/>
                <w:sz w:val="28"/>
                <w:szCs w:val="28"/>
              </w:rPr>
              <w:t>人才后代后院工程</w:t>
            </w:r>
          </w:p>
        </w:tc>
      </w:tr>
      <w:tr w14:paraId="32E272A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FBDB28D">
            <w:pPr>
              <w:widowControl/>
              <w:spacing w:line="300" w:lineRule="exact"/>
              <w:ind w:firstLine="480"/>
              <w:jc w:val="left"/>
              <w:rPr>
                <w:rFonts w:ascii="楷体" w:hAnsi="楷体" w:eastAsia="楷体" w:cs="楷体"/>
                <w:kern w:val="0"/>
                <w:sz w:val="28"/>
                <w:szCs w:val="28"/>
              </w:rPr>
            </w:pP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24149993">
            <w:pPr>
              <w:spacing w:line="300" w:lineRule="exact"/>
              <w:ind w:firstLine="556" w:firstLineChars="200"/>
              <w:rPr>
                <w:rFonts w:ascii="楷体_GB2312" w:hAnsi="仿宋" w:eastAsia="楷体_GB2312"/>
                <w:sz w:val="28"/>
                <w:szCs w:val="28"/>
              </w:rPr>
            </w:pPr>
            <w:r>
              <w:rPr>
                <w:rFonts w:hint="eastAsia" w:ascii="楷体_GB2312" w:hAnsi="仿宋" w:eastAsia="楷体_GB2312"/>
                <w:sz w:val="28"/>
                <w:szCs w:val="28"/>
              </w:rPr>
              <w:t>优化学校布局，支持和规范社会力量兴办教育，扩大优质学位供给，对引进的省级及以上高层次人才的配偶工作安排保持原单位编制性质和职级，解决人才的后顾之忧。</w:t>
            </w:r>
          </w:p>
        </w:tc>
      </w:tr>
      <w:tr w14:paraId="4837B96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8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9AF08E4">
            <w:pPr>
              <w:widowControl/>
              <w:spacing w:line="300" w:lineRule="exact"/>
              <w:jc w:val="left"/>
              <w:rPr>
                <w:rFonts w:ascii="楷体" w:hAnsi="楷体" w:eastAsia="楷体" w:cs="楷体"/>
                <w:kern w:val="0"/>
                <w:sz w:val="28"/>
                <w:szCs w:val="28"/>
              </w:rPr>
            </w:pPr>
            <w:r>
              <w:rPr>
                <w:rFonts w:hint="eastAsia" w:ascii="楷体" w:hAnsi="楷体" w:eastAsia="楷体" w:cs="楷体"/>
                <w:b/>
                <w:bCs/>
                <w:kern w:val="0"/>
                <w:sz w:val="28"/>
                <w:szCs w:val="28"/>
              </w:rPr>
              <w:t>08</w:t>
            </w: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F8C7C2B">
            <w:pPr>
              <w:widowControl/>
              <w:spacing w:line="300" w:lineRule="exact"/>
              <w:jc w:val="left"/>
              <w:rPr>
                <w:rFonts w:ascii="楷体_GB2312" w:hAnsi="仿宋" w:eastAsia="楷体_GB2312"/>
                <w:sz w:val="28"/>
                <w:szCs w:val="28"/>
              </w:rPr>
            </w:pPr>
            <w:r>
              <w:rPr>
                <w:rFonts w:hint="eastAsia" w:ascii="楷体" w:hAnsi="楷体" w:eastAsia="楷体" w:cs="楷体"/>
                <w:b/>
                <w:bCs/>
                <w:sz w:val="28"/>
                <w:szCs w:val="28"/>
              </w:rPr>
              <w:t>人才健康工程</w:t>
            </w:r>
          </w:p>
        </w:tc>
      </w:tr>
      <w:tr w14:paraId="4262D32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20E9ABF">
            <w:pPr>
              <w:widowControl/>
              <w:spacing w:line="300" w:lineRule="exact"/>
              <w:ind w:firstLine="480"/>
              <w:jc w:val="left"/>
              <w:rPr>
                <w:rFonts w:ascii="楷体" w:hAnsi="楷体" w:eastAsia="楷体" w:cs="楷体"/>
                <w:kern w:val="0"/>
                <w:sz w:val="28"/>
                <w:szCs w:val="28"/>
              </w:rPr>
            </w:pP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214BAD09">
            <w:pPr>
              <w:spacing w:line="300" w:lineRule="exact"/>
              <w:ind w:firstLine="556" w:firstLineChars="200"/>
              <w:rPr>
                <w:rFonts w:ascii="楷体_GB2312" w:hAnsi="仿宋" w:eastAsia="楷体_GB2312"/>
                <w:sz w:val="28"/>
                <w:szCs w:val="28"/>
              </w:rPr>
            </w:pPr>
            <w:r>
              <w:rPr>
                <w:rFonts w:hint="eastAsia" w:ascii="楷体_GB2312" w:hAnsi="仿宋" w:eastAsia="楷体_GB2312"/>
                <w:sz w:val="28"/>
                <w:szCs w:val="28"/>
              </w:rPr>
              <w:t>建成</w:t>
            </w:r>
            <w:r>
              <w:rPr>
                <w:rFonts w:ascii="楷体_GB2312" w:hAnsi="仿宋" w:eastAsia="楷体_GB2312"/>
                <w:sz w:val="28"/>
                <w:szCs w:val="28"/>
              </w:rPr>
              <w:t>主城区15分钟医疗卫生服务圈，主城区以外地区20分钟服务圈</w:t>
            </w:r>
            <w:r>
              <w:rPr>
                <w:rFonts w:hint="eastAsia" w:ascii="楷体_GB2312" w:hAnsi="仿宋" w:eastAsia="楷体_GB2312"/>
                <w:sz w:val="28"/>
                <w:szCs w:val="28"/>
              </w:rPr>
              <w:t>,</w:t>
            </w:r>
            <w:r>
              <w:rPr>
                <w:rFonts w:ascii="楷体_GB2312" w:hAnsi="仿宋" w:eastAsia="楷体_GB2312"/>
                <w:sz w:val="28"/>
                <w:szCs w:val="28"/>
              </w:rPr>
              <w:t>扩大优质医院辐射能力</w:t>
            </w:r>
            <w:r>
              <w:rPr>
                <w:rFonts w:hint="eastAsia" w:ascii="楷体_GB2312" w:hAnsi="仿宋" w:eastAsia="楷体_GB2312"/>
                <w:sz w:val="28"/>
                <w:szCs w:val="28"/>
              </w:rPr>
              <w:t>，</w:t>
            </w:r>
            <w:r>
              <w:rPr>
                <w:rFonts w:ascii="楷体_GB2312" w:hAnsi="仿宋" w:eastAsia="楷体_GB2312"/>
                <w:sz w:val="28"/>
                <w:szCs w:val="28"/>
              </w:rPr>
              <w:t>为</w:t>
            </w:r>
            <w:r>
              <w:rPr>
                <w:rFonts w:hint="eastAsia" w:ascii="楷体_GB2312" w:hAnsi="仿宋" w:eastAsia="楷体_GB2312"/>
                <w:sz w:val="28"/>
                <w:szCs w:val="28"/>
              </w:rPr>
              <w:t>各</w:t>
            </w:r>
            <w:r>
              <w:rPr>
                <w:rFonts w:ascii="楷体_GB2312" w:hAnsi="仿宋" w:eastAsia="楷体_GB2312"/>
                <w:sz w:val="28"/>
                <w:szCs w:val="28"/>
              </w:rPr>
              <w:t>类</w:t>
            </w:r>
            <w:r>
              <w:rPr>
                <w:rFonts w:hint="eastAsia" w:ascii="楷体_GB2312" w:hAnsi="仿宋" w:eastAsia="楷体_GB2312"/>
                <w:sz w:val="28"/>
                <w:szCs w:val="28"/>
              </w:rPr>
              <w:t>人</w:t>
            </w:r>
            <w:r>
              <w:rPr>
                <w:rFonts w:ascii="楷体_GB2312" w:hAnsi="仿宋" w:eastAsia="楷体_GB2312"/>
                <w:sz w:val="28"/>
                <w:szCs w:val="28"/>
              </w:rPr>
              <w:t>才</w:t>
            </w:r>
            <w:r>
              <w:rPr>
                <w:rFonts w:hint="eastAsia" w:ascii="楷体_GB2312" w:hAnsi="仿宋" w:eastAsia="楷体_GB2312"/>
                <w:sz w:val="28"/>
                <w:szCs w:val="28"/>
              </w:rPr>
              <w:t>提供</w:t>
            </w:r>
            <w:r>
              <w:rPr>
                <w:rFonts w:ascii="楷体_GB2312" w:hAnsi="仿宋" w:eastAsia="楷体_GB2312"/>
                <w:sz w:val="28"/>
                <w:szCs w:val="28"/>
              </w:rPr>
              <w:t>良好</w:t>
            </w:r>
            <w:r>
              <w:rPr>
                <w:rFonts w:hint="eastAsia" w:ascii="楷体_GB2312" w:hAnsi="仿宋" w:eastAsia="楷体_GB2312"/>
                <w:sz w:val="28"/>
                <w:szCs w:val="28"/>
              </w:rPr>
              <w:t>的医疗</w:t>
            </w:r>
            <w:r>
              <w:rPr>
                <w:rFonts w:ascii="楷体_GB2312" w:hAnsi="仿宋" w:eastAsia="楷体_GB2312"/>
                <w:sz w:val="28"/>
                <w:szCs w:val="28"/>
              </w:rPr>
              <w:t>保障</w:t>
            </w:r>
            <w:r>
              <w:rPr>
                <w:rFonts w:hint="eastAsia" w:ascii="楷体_GB2312" w:hAnsi="仿宋" w:eastAsia="楷体_GB2312"/>
                <w:sz w:val="28"/>
                <w:szCs w:val="28"/>
              </w:rPr>
              <w:t>。</w:t>
            </w:r>
          </w:p>
        </w:tc>
      </w:tr>
    </w:tbl>
    <w:p w14:paraId="49A35112">
      <w:pPr>
        <w:spacing w:line="480" w:lineRule="exact"/>
        <w:ind w:firstLine="0" w:firstLineChars="0"/>
        <w:rPr>
          <w:szCs w:val="32"/>
        </w:rPr>
      </w:pPr>
    </w:p>
    <w:p w14:paraId="3F13BCF1">
      <w:pPr>
        <w:pStyle w:val="3"/>
        <w:spacing w:line="600" w:lineRule="exact"/>
        <w:rPr>
          <w:rFonts w:ascii="黑体" w:hAnsi="黑体" w:eastAsia="黑体"/>
          <w:b w:val="0"/>
          <w:bCs w:val="0"/>
          <w:sz w:val="32"/>
          <w:szCs w:val="32"/>
        </w:rPr>
      </w:pPr>
      <w:r>
        <w:rPr>
          <w:rFonts w:ascii="黑体" w:hAnsi="黑体" w:eastAsia="黑体"/>
          <w:b w:val="0"/>
          <w:bCs w:val="0"/>
          <w:sz w:val="32"/>
          <w:szCs w:val="32"/>
        </w:rPr>
        <w:t>第</w:t>
      </w:r>
      <w:r>
        <w:rPr>
          <w:rFonts w:hint="eastAsia" w:ascii="黑体" w:hAnsi="黑体" w:eastAsia="黑体"/>
          <w:b w:val="0"/>
          <w:bCs w:val="0"/>
          <w:sz w:val="32"/>
          <w:szCs w:val="32"/>
        </w:rPr>
        <w:t>六</w:t>
      </w:r>
      <w:r>
        <w:rPr>
          <w:rFonts w:ascii="黑体" w:hAnsi="黑体" w:eastAsia="黑体"/>
          <w:b w:val="0"/>
          <w:bCs w:val="0"/>
          <w:sz w:val="32"/>
          <w:szCs w:val="32"/>
        </w:rPr>
        <w:t xml:space="preserve">章 </w:t>
      </w:r>
      <w:r>
        <w:rPr>
          <w:rFonts w:hint="eastAsia" w:ascii="黑体" w:hAnsi="黑体" w:eastAsia="黑体"/>
          <w:b w:val="0"/>
          <w:bCs w:val="0"/>
          <w:sz w:val="32"/>
          <w:szCs w:val="32"/>
        </w:rPr>
        <w:t>提高人事管理科学化水平</w:t>
      </w:r>
    </w:p>
    <w:p w14:paraId="5060D9C9">
      <w:pPr>
        <w:spacing w:line="600" w:lineRule="exact"/>
        <w:jc w:val="center"/>
        <w:rPr>
          <w:rFonts w:ascii="黑体" w:hAnsi="黑体" w:eastAsia="黑体"/>
          <w:sz w:val="30"/>
          <w:szCs w:val="30"/>
        </w:rPr>
      </w:pPr>
    </w:p>
    <w:p w14:paraId="70CA2756">
      <w:pPr>
        <w:spacing w:line="600" w:lineRule="exact"/>
        <w:ind w:firstLine="636" w:firstLineChars="200"/>
        <w:rPr>
          <w:rFonts w:hint="eastAsia"/>
          <w:szCs w:val="32"/>
        </w:rPr>
      </w:pPr>
      <w:r>
        <w:rPr>
          <w:rFonts w:hint="eastAsia"/>
          <w:szCs w:val="32"/>
        </w:rPr>
        <w:t>深化人事制度改革和职称制度改革，健全事业单位公开招聘制度，规范开展党委政府表彰奖励工作，形成广纳群贤、人尽其才、公平公正、充满活力的人事管理制度。</w:t>
      </w:r>
    </w:p>
    <w:p w14:paraId="33204ADD">
      <w:pPr>
        <w:pStyle w:val="2"/>
        <w:spacing w:line="600" w:lineRule="exact"/>
      </w:pPr>
    </w:p>
    <w:p w14:paraId="6E32E6AD">
      <w:pPr>
        <w:pStyle w:val="3"/>
        <w:spacing w:line="600" w:lineRule="exact"/>
        <w:rPr>
          <w:rFonts w:ascii="黑体" w:hAnsi="黑体" w:eastAsia="黑体"/>
          <w:b w:val="0"/>
          <w:bCs w:val="0"/>
          <w:sz w:val="32"/>
          <w:szCs w:val="32"/>
        </w:rPr>
      </w:pPr>
      <w:r>
        <w:rPr>
          <w:rFonts w:hint="eastAsia" w:ascii="黑体" w:hAnsi="黑体" w:eastAsia="黑体"/>
          <w:b w:val="0"/>
          <w:bCs w:val="0"/>
          <w:sz w:val="32"/>
          <w:szCs w:val="32"/>
        </w:rPr>
        <w:t>第一节 深化事业单位人事制度改革</w:t>
      </w:r>
    </w:p>
    <w:p w14:paraId="1D7EF282">
      <w:pPr>
        <w:spacing w:line="600" w:lineRule="exact"/>
        <w:rPr>
          <w:rFonts w:ascii="仿宋" w:hAnsi="仿宋" w:eastAsia="仿宋"/>
          <w:b/>
          <w:sz w:val="30"/>
          <w:szCs w:val="30"/>
        </w:rPr>
      </w:pPr>
    </w:p>
    <w:p w14:paraId="4D85B9D2">
      <w:pPr>
        <w:spacing w:line="600" w:lineRule="exact"/>
        <w:ind w:firstLine="636" w:firstLineChars="200"/>
        <w:rPr>
          <w:szCs w:val="32"/>
        </w:rPr>
      </w:pPr>
      <w:r>
        <w:rPr>
          <w:szCs w:val="32"/>
        </w:rPr>
        <w:t>分类推进事业单位人事制度改革</w:t>
      </w:r>
      <w:r>
        <w:rPr>
          <w:rFonts w:hint="eastAsia"/>
          <w:szCs w:val="32"/>
        </w:rPr>
        <w:t>。健全分类人事管理制度，加强人事监督管理，构建符合事业单位特点和规律的人事管理政策体系。探索事业单位管理岗位职员等级晋升制度。助力教育高质量发展，探索县域人才统筹使用制度，推进公办中小学“县管校聘”管理体制改革和校长职级制工作。</w:t>
      </w:r>
    </w:p>
    <w:p w14:paraId="5A81239F">
      <w:pPr>
        <w:spacing w:line="600" w:lineRule="exact"/>
        <w:ind w:firstLine="636" w:firstLineChars="200"/>
        <w:rPr>
          <w:szCs w:val="32"/>
        </w:rPr>
      </w:pPr>
      <w:r>
        <w:rPr>
          <w:rFonts w:hint="eastAsia"/>
          <w:szCs w:val="32"/>
        </w:rPr>
        <w:t>完善事业单位人员聘用与考核制度。探索不同类型事业单位岗位结构比例和最高等级的调整办法，优化岗位结构，推进事业单位岗位动态管理机制，逐步提高事业单位岗位设置管理信息化水平。推进以合同管理为基础的用人机制，完善考核制度。指导行业主管部门加强聘期考核结果运用，推进竞聘上岗等管理办法，实行人才能上能下。进一步规范事业单位工作人员考核工作，树立正确考核导向，强化考核结果运用，充分发挥考核激励监督作用。健全事业单位工作人员奖励、处分、申诉等制度，组织指导事业单位及其主管部门开展奖励、处分、申诉等工作。</w:t>
      </w:r>
    </w:p>
    <w:p w14:paraId="36940CC2">
      <w:pPr>
        <w:pStyle w:val="2"/>
        <w:spacing w:after="0" w:line="600" w:lineRule="exact"/>
      </w:pPr>
    </w:p>
    <w:p w14:paraId="26344CF8">
      <w:pPr>
        <w:pStyle w:val="3"/>
        <w:spacing w:line="480" w:lineRule="exact"/>
        <w:rPr>
          <w:rFonts w:ascii="黑体" w:hAnsi="黑体" w:eastAsia="黑体"/>
          <w:b w:val="0"/>
          <w:bCs w:val="0"/>
          <w:sz w:val="32"/>
          <w:szCs w:val="32"/>
        </w:rPr>
      </w:pPr>
      <w:r>
        <w:rPr>
          <w:rFonts w:hint="eastAsia" w:ascii="黑体" w:hAnsi="黑体" w:eastAsia="黑体"/>
          <w:b w:val="0"/>
          <w:bCs w:val="0"/>
          <w:sz w:val="32"/>
          <w:szCs w:val="32"/>
        </w:rPr>
        <w:t xml:space="preserve">第二节 </w:t>
      </w:r>
      <w:r>
        <w:rPr>
          <w:rFonts w:ascii="黑体" w:hAnsi="黑体" w:eastAsia="黑体"/>
          <w:b w:val="0"/>
          <w:bCs w:val="0"/>
          <w:sz w:val="32"/>
          <w:szCs w:val="32"/>
        </w:rPr>
        <w:t>深化职称制度改革</w:t>
      </w:r>
    </w:p>
    <w:p w14:paraId="6EECF5DC">
      <w:pPr>
        <w:spacing w:line="600" w:lineRule="exact"/>
        <w:ind w:firstLine="636" w:firstLineChars="200"/>
        <w:rPr>
          <w:rFonts w:ascii="仿宋" w:hAnsi="仿宋" w:eastAsia="仿宋"/>
          <w:b/>
          <w:sz w:val="32"/>
          <w:szCs w:val="32"/>
        </w:rPr>
      </w:pPr>
    </w:p>
    <w:p w14:paraId="30A605D8">
      <w:pPr>
        <w:spacing w:line="600" w:lineRule="exact"/>
        <w:ind w:firstLine="636" w:firstLineChars="200"/>
        <w:rPr>
          <w:szCs w:val="32"/>
        </w:rPr>
      </w:pPr>
      <w:r>
        <w:rPr>
          <w:rFonts w:hint="eastAsia"/>
          <w:szCs w:val="32"/>
        </w:rPr>
        <w:t>落实深化职称制度改革，</w:t>
      </w:r>
      <w:r>
        <w:rPr>
          <w:szCs w:val="32"/>
        </w:rPr>
        <w:t>力争基本形成设置合理、评价科学、管理规范、运转协调、服务全面的职称制度。</w:t>
      </w:r>
      <w:r>
        <w:rPr>
          <w:rFonts w:hint="eastAsia"/>
          <w:szCs w:val="32"/>
        </w:rPr>
        <w:t>分类推进职称制度改革，以品德、能力、业绩为导向，破除唯学历、唯资历、唯论文、唯奖项倾向，突出技术性、实践性和创新性，建立起竞争择优、能上能下、能高能低的动态聘任机制</w:t>
      </w:r>
      <w:r>
        <w:rPr>
          <w:szCs w:val="32"/>
        </w:rPr>
        <w:t>。规范职业资格准入和评价管理，推进职业资格与职称制度有效衔接。</w:t>
      </w:r>
      <w:r>
        <w:rPr>
          <w:rFonts w:hint="eastAsia"/>
          <w:szCs w:val="32"/>
        </w:rPr>
        <w:t>加强职称评审专家库建设，推进规范职称评审程序。开展战略性新兴产业、文化创意产业职称评定工作</w:t>
      </w:r>
      <w:r>
        <w:rPr>
          <w:szCs w:val="32"/>
        </w:rPr>
        <w:t>，新冠</w:t>
      </w:r>
      <w:r>
        <w:rPr>
          <w:rFonts w:hint="eastAsia"/>
          <w:szCs w:val="32"/>
          <w:lang w:eastAsia="zh-CN"/>
        </w:rPr>
        <w:t>肺炎</w:t>
      </w:r>
      <w:r>
        <w:rPr>
          <w:szCs w:val="32"/>
        </w:rPr>
        <w:t>疫情防控一线医务人员职称评审倾斜等制度的落实，加强职称评审事中事后监管</w:t>
      </w:r>
      <w:r>
        <w:rPr>
          <w:rFonts w:hint="eastAsia"/>
          <w:szCs w:val="32"/>
        </w:rPr>
        <w:t>。推进会计、经济、工程技术等系列职称制度改革，探索在先进制造业等产业试点产业职称改革。</w:t>
      </w:r>
      <w:r>
        <w:rPr>
          <w:szCs w:val="32"/>
        </w:rPr>
        <w:t>支持台湾在榕人才参加专业技术人员职业资格考试和职称评审。</w:t>
      </w:r>
    </w:p>
    <w:p w14:paraId="4B599452">
      <w:pPr>
        <w:spacing w:line="480" w:lineRule="exact"/>
        <w:ind w:firstLine="596" w:firstLineChars="200"/>
        <w:rPr>
          <w:sz w:val="30"/>
          <w:szCs w:val="30"/>
        </w:rPr>
      </w:pPr>
    </w:p>
    <w:p w14:paraId="5974911E">
      <w:pPr>
        <w:pStyle w:val="3"/>
        <w:spacing w:line="480" w:lineRule="exact"/>
        <w:rPr>
          <w:rFonts w:ascii="仿宋" w:hAnsi="仿宋" w:eastAsia="仿宋"/>
          <w:b w:val="0"/>
          <w:bCs w:val="0"/>
          <w:sz w:val="32"/>
          <w:szCs w:val="32"/>
        </w:rPr>
      </w:pPr>
      <w:r>
        <w:rPr>
          <w:rFonts w:hint="eastAsia" w:ascii="黑体" w:hAnsi="黑体" w:eastAsia="黑体"/>
          <w:b w:val="0"/>
          <w:bCs w:val="0"/>
          <w:sz w:val="32"/>
          <w:szCs w:val="32"/>
        </w:rPr>
        <w:t>第三节 健全事业单位公开招聘制度</w:t>
      </w:r>
    </w:p>
    <w:p w14:paraId="6F6B91E3">
      <w:pPr>
        <w:spacing w:line="480" w:lineRule="exact"/>
        <w:jc w:val="center"/>
        <w:rPr>
          <w:rFonts w:ascii="仿宋" w:hAnsi="仿宋" w:eastAsia="仿宋"/>
          <w:b/>
          <w:sz w:val="30"/>
          <w:szCs w:val="30"/>
        </w:rPr>
      </w:pPr>
    </w:p>
    <w:p w14:paraId="5CA7D69F">
      <w:pPr>
        <w:spacing w:line="600" w:lineRule="exact"/>
        <w:ind w:firstLine="636" w:firstLineChars="200"/>
        <w:rPr>
          <w:szCs w:val="32"/>
        </w:rPr>
      </w:pPr>
      <w:r>
        <w:rPr>
          <w:rFonts w:hint="eastAsia"/>
          <w:szCs w:val="32"/>
        </w:rPr>
        <w:t>坚持统一规范、分类指导、分级管理、权责一致的原则，加强宏观管理与落实单位用人自主权相结合，探索不同类型事业单位的公开招聘办法，完善事业单位公开招聘制度。探索建立以直接考核方式招聘高层次急需紧缺人才的“绿色通道”。</w:t>
      </w:r>
    </w:p>
    <w:p w14:paraId="57714527">
      <w:pPr>
        <w:spacing w:line="600" w:lineRule="exact"/>
        <w:ind w:firstLine="636" w:firstLineChars="200"/>
        <w:rPr>
          <w:szCs w:val="32"/>
        </w:rPr>
      </w:pPr>
      <w:r>
        <w:rPr>
          <w:rFonts w:hint="eastAsia"/>
          <w:szCs w:val="32"/>
        </w:rPr>
        <w:t>强化信息公开、监督检查，健全防范公开招聘突出问题措施办法，严格规范招聘流程。健全面试评委管理制度，加强事业单位公开招聘面试评委队伍建设。针对不同行业、不同类型事业单位和不同专业岗位，分类组织实施公开招聘，提高招聘工作科学化水平。支持推行县乡基层事业单位招聘“本土直通车”，指导县（市）区制定当地事业单位公开招聘紧缺急需目录，按规定采用简捷有效方式补充急需紧缺人才。</w:t>
      </w:r>
    </w:p>
    <w:p w14:paraId="5DE2FF55">
      <w:pPr>
        <w:pStyle w:val="2"/>
        <w:spacing w:after="0" w:line="400" w:lineRule="exact"/>
      </w:pPr>
    </w:p>
    <w:p w14:paraId="37B09AD7">
      <w:pPr>
        <w:pStyle w:val="3"/>
        <w:spacing w:line="480" w:lineRule="exact"/>
        <w:rPr>
          <w:rFonts w:ascii="仿宋" w:hAnsi="仿宋" w:eastAsia="仿宋"/>
          <w:b w:val="0"/>
          <w:bCs w:val="0"/>
          <w:sz w:val="32"/>
          <w:szCs w:val="32"/>
        </w:rPr>
      </w:pPr>
      <w:r>
        <w:rPr>
          <w:rFonts w:hint="eastAsia" w:ascii="黑体" w:hAnsi="黑体" w:eastAsia="黑体"/>
          <w:b w:val="0"/>
          <w:bCs w:val="0"/>
          <w:sz w:val="32"/>
          <w:szCs w:val="32"/>
        </w:rPr>
        <w:t>第四节 规范开展表彰奖励工作</w:t>
      </w:r>
    </w:p>
    <w:p w14:paraId="32B976C7">
      <w:pPr>
        <w:spacing w:line="480" w:lineRule="exact"/>
        <w:jc w:val="center"/>
        <w:rPr>
          <w:rFonts w:ascii="仿宋" w:hAnsi="仿宋" w:eastAsia="仿宋"/>
          <w:b/>
          <w:sz w:val="30"/>
          <w:szCs w:val="30"/>
        </w:rPr>
      </w:pPr>
    </w:p>
    <w:p w14:paraId="126A3DAC">
      <w:pPr>
        <w:spacing w:line="600" w:lineRule="exact"/>
        <w:ind w:firstLine="636" w:firstLineChars="200"/>
        <w:rPr>
          <w:szCs w:val="32"/>
        </w:rPr>
      </w:pPr>
      <w:r>
        <w:rPr>
          <w:rFonts w:hint="eastAsia"/>
          <w:szCs w:val="32"/>
        </w:rPr>
        <w:t>根据省里出台的评比达标表彰活动管理实施细则、功勋荣誉表彰奖励获得者待遇规定实施细则、生活困难表彰奖励获得者帮扶办法实施细则、创建示范活动管理办法等，规范实施我市评比达标表彰项目和创建示范活动。市、县级党委</w:t>
      </w:r>
      <w:r>
        <w:rPr>
          <w:rFonts w:hint="eastAsia"/>
          <w:szCs w:val="32"/>
          <w:lang w:eastAsia="zh-CN"/>
        </w:rPr>
        <w:t>、</w:t>
      </w:r>
      <w:r>
        <w:rPr>
          <w:rFonts w:hint="eastAsia"/>
          <w:szCs w:val="32"/>
        </w:rPr>
        <w:t>政府表彰奖励工作遵循科学合理、注重实效和动态管理原则，坚持面向基层和工作一线，以精神奖励为主、物质奖励为辅，严格控制周期和规模，推进表彰奖励工作科学化、制度化、规范化。</w:t>
      </w:r>
    </w:p>
    <w:p w14:paraId="6F00FF80">
      <w:pPr>
        <w:spacing w:line="600" w:lineRule="exact"/>
        <w:ind w:firstLine="636" w:firstLineChars="200"/>
        <w:rPr>
          <w:szCs w:val="32"/>
        </w:rPr>
      </w:pPr>
      <w:r>
        <w:rPr>
          <w:rFonts w:hint="eastAsia"/>
          <w:szCs w:val="32"/>
        </w:rPr>
        <w:t>根据《事业单位工作人员奖励规定》，对在本职工作中表现突出，或在应对重大突发事件、完成重大专项工作方面作出显著成绩和贡献的事业单位工作人员和集体，给予记功、嘉奖，充分发挥先进典型示范引领作用，激励广大事业单位工作人员担当作为、干事创业。</w:t>
      </w:r>
    </w:p>
    <w:p w14:paraId="5C21D283">
      <w:pPr>
        <w:spacing w:line="480" w:lineRule="exact"/>
        <w:ind w:firstLine="596" w:firstLineChars="200"/>
        <w:rPr>
          <w:b/>
          <w:bCs/>
          <w:sz w:val="30"/>
          <w:szCs w:val="30"/>
        </w:rPr>
      </w:pPr>
    </w:p>
    <w:p w14:paraId="1F4A27E5">
      <w:pPr>
        <w:keepNext/>
        <w:keepLines/>
        <w:spacing w:line="480" w:lineRule="exact"/>
        <w:jc w:val="center"/>
        <w:outlineLvl w:val="0"/>
        <w:rPr>
          <w:rFonts w:ascii="黑体" w:hAnsi="黑体" w:eastAsia="黑体"/>
          <w:kern w:val="44"/>
          <w:szCs w:val="32"/>
        </w:rPr>
      </w:pPr>
      <w:r>
        <w:rPr>
          <w:rFonts w:ascii="黑体" w:hAnsi="黑体" w:eastAsia="黑体"/>
          <w:kern w:val="44"/>
          <w:szCs w:val="32"/>
        </w:rPr>
        <w:t>第</w:t>
      </w:r>
      <w:r>
        <w:rPr>
          <w:rFonts w:hint="eastAsia" w:ascii="黑体" w:hAnsi="黑体" w:eastAsia="黑体"/>
          <w:kern w:val="44"/>
          <w:szCs w:val="32"/>
        </w:rPr>
        <w:t>七</w:t>
      </w:r>
      <w:r>
        <w:rPr>
          <w:rFonts w:ascii="黑体" w:hAnsi="黑体" w:eastAsia="黑体"/>
          <w:kern w:val="44"/>
          <w:szCs w:val="32"/>
        </w:rPr>
        <w:t>章</w:t>
      </w:r>
      <w:r>
        <w:rPr>
          <w:rFonts w:hint="eastAsia" w:ascii="黑体" w:hAnsi="黑体" w:eastAsia="黑体"/>
          <w:kern w:val="44"/>
          <w:szCs w:val="32"/>
          <w:lang w:val="en-US" w:eastAsia="zh-CN"/>
        </w:rPr>
        <w:t xml:space="preserve"> </w:t>
      </w:r>
      <w:r>
        <w:rPr>
          <w:rFonts w:ascii="黑体" w:hAnsi="黑体" w:eastAsia="黑体"/>
          <w:kern w:val="44"/>
          <w:szCs w:val="32"/>
        </w:rPr>
        <w:t>深化工资收入分配制度改革</w:t>
      </w:r>
    </w:p>
    <w:p w14:paraId="31F75083">
      <w:pPr>
        <w:widowControl/>
        <w:shd w:val="clear" w:color="auto" w:fill="FFFFFF"/>
        <w:spacing w:line="480" w:lineRule="exact"/>
        <w:ind w:firstLine="480"/>
        <w:jc w:val="left"/>
        <w:rPr>
          <w:rFonts w:ascii="宋体" w:hAnsi="宋体" w:eastAsia="宋体" w:cs="宋体"/>
          <w:kern w:val="0"/>
          <w:sz w:val="30"/>
          <w:szCs w:val="30"/>
        </w:rPr>
      </w:pPr>
    </w:p>
    <w:p w14:paraId="73C70D60">
      <w:pPr>
        <w:spacing w:line="600" w:lineRule="exact"/>
        <w:ind w:firstLine="636" w:firstLineChars="200"/>
        <w:rPr>
          <w:rFonts w:ascii="宋体" w:hAnsi="宋体" w:eastAsia="宋体" w:cs="宋体"/>
          <w:kern w:val="0"/>
          <w:szCs w:val="32"/>
        </w:rPr>
      </w:pPr>
      <w:r>
        <w:rPr>
          <w:rFonts w:hint="eastAsia"/>
          <w:szCs w:val="32"/>
        </w:rPr>
        <w:t>深入实施居民增收行动，深化工资收入分配制度改革，</w:t>
      </w:r>
      <w:r>
        <w:rPr>
          <w:szCs w:val="32"/>
        </w:rPr>
        <w:t>健全劳动、知识、技术、管理等要素按贡献决定报酬的机制</w:t>
      </w:r>
      <w:r>
        <w:rPr>
          <w:rFonts w:hint="eastAsia"/>
          <w:szCs w:val="32"/>
        </w:rPr>
        <w:t>，提高劳动报酬在初次分配中的比重，着力增加一线劳动者劳动报酬，推动更多低收入者进入中等收入行列，</w:t>
      </w:r>
      <w:r>
        <w:rPr>
          <w:szCs w:val="32"/>
        </w:rPr>
        <w:t>规范工资收入分配秩序、缩小工资收入分配差距，优化收入分配格局。</w:t>
      </w:r>
    </w:p>
    <w:p w14:paraId="60E8AE80">
      <w:pPr>
        <w:spacing w:line="480" w:lineRule="exact"/>
        <w:ind w:firstLine="596" w:firstLineChars="200"/>
        <w:rPr>
          <w:sz w:val="30"/>
          <w:szCs w:val="30"/>
        </w:rPr>
      </w:pPr>
    </w:p>
    <w:p w14:paraId="4A5AB864">
      <w:pPr>
        <w:keepNext/>
        <w:keepLines/>
        <w:spacing w:line="480" w:lineRule="exact"/>
        <w:jc w:val="center"/>
        <w:outlineLvl w:val="0"/>
        <w:rPr>
          <w:rFonts w:ascii="黑体" w:hAnsi="黑体" w:eastAsia="黑体"/>
          <w:kern w:val="44"/>
          <w:sz w:val="32"/>
          <w:szCs w:val="32"/>
        </w:rPr>
      </w:pPr>
      <w:r>
        <w:rPr>
          <w:rFonts w:hint="eastAsia" w:ascii="黑体" w:hAnsi="黑体" w:eastAsia="黑体"/>
          <w:kern w:val="44"/>
          <w:sz w:val="32"/>
          <w:szCs w:val="32"/>
        </w:rPr>
        <w:t>第一节 加强企业工资宏观调控</w:t>
      </w:r>
    </w:p>
    <w:p w14:paraId="3CD5A90E">
      <w:pPr>
        <w:spacing w:line="480" w:lineRule="exact"/>
        <w:jc w:val="center"/>
        <w:rPr>
          <w:rFonts w:ascii="仿宋" w:hAnsi="仿宋" w:eastAsia="仿宋"/>
          <w:b/>
          <w:sz w:val="30"/>
          <w:szCs w:val="30"/>
        </w:rPr>
      </w:pPr>
    </w:p>
    <w:p w14:paraId="0B68754F">
      <w:pPr>
        <w:spacing w:line="600" w:lineRule="exact"/>
        <w:ind w:firstLine="636" w:firstLineChars="200"/>
        <w:rPr>
          <w:szCs w:val="32"/>
        </w:rPr>
      </w:pPr>
      <w:r>
        <w:rPr>
          <w:rFonts w:hint="eastAsia"/>
          <w:szCs w:val="32"/>
        </w:rPr>
        <w:t>规范企业工资收入分配秩序。继续完善工资指导线、人力资源市场工资指导价位和人工成本监测预警等企业工资宏观调控制度，引导企业合理确定工资水平，</w:t>
      </w:r>
      <w:r>
        <w:rPr>
          <w:szCs w:val="32"/>
        </w:rPr>
        <w:t>不断提高职工工资水平</w:t>
      </w:r>
      <w:r>
        <w:rPr>
          <w:rFonts w:hint="eastAsia"/>
          <w:szCs w:val="32"/>
        </w:rPr>
        <w:t>。</w:t>
      </w:r>
      <w:r>
        <w:rPr>
          <w:szCs w:val="32"/>
        </w:rPr>
        <w:t>实施扩大中等收入群体行动计划，以高校和职业院校毕业生、技能型劳动者、农民工等为重点，不断提高中等收入群体比重。</w:t>
      </w:r>
      <w:r>
        <w:rPr>
          <w:rFonts w:hint="eastAsia"/>
          <w:szCs w:val="32"/>
        </w:rPr>
        <w:t>分类指导企业健全内部分配制度，重点解决好企业内部工资结构不合理、分配行为不规范、同工不同酬等突出问题。健全</w:t>
      </w:r>
      <w:r>
        <w:rPr>
          <w:szCs w:val="32"/>
        </w:rPr>
        <w:t>统一规范的企业薪酬调查和信息发布制度，为深化企业工资收入分配制度改革提供基础数据和决策信息。</w:t>
      </w:r>
      <w:r>
        <w:rPr>
          <w:rFonts w:hint="eastAsia"/>
          <w:szCs w:val="32"/>
        </w:rPr>
        <w:t>强化工资指导线应用，引导企业合理确定工资水平。加大对技能要素参与分配的激励力度，实现技高者多得、多劳多得、贡献大者多得。</w:t>
      </w:r>
    </w:p>
    <w:p w14:paraId="5E1AC1A2">
      <w:pPr>
        <w:spacing w:line="600" w:lineRule="exact"/>
        <w:ind w:firstLine="636" w:firstLineChars="200"/>
        <w:rPr>
          <w:szCs w:val="32"/>
        </w:rPr>
      </w:pPr>
      <w:r>
        <w:rPr>
          <w:rFonts w:hint="eastAsia"/>
          <w:szCs w:val="32"/>
        </w:rPr>
        <w:t>深入推进工资集体协商，以非公有制企业为重点对象，将工资集体协商向新兴产业、新型业态延伸，不断扩大覆盖面。加大对技能要素参与分配的激励力度，实现技高者多得、多劳多得、贡献大者多得，努力提高一线职工、技术工人的工资水平。健全最低工资标准正常调整机制，力争按照不低于社会平均工资增长率调整最低工资标准。建立最低工资标准实施效果评估机制，提高最低工资标准对低收入职工工资的保底效果。</w:t>
      </w:r>
    </w:p>
    <w:p w14:paraId="46528BDD">
      <w:pPr>
        <w:pStyle w:val="2"/>
      </w:pPr>
    </w:p>
    <w:p w14:paraId="3D03716E">
      <w:pPr>
        <w:keepNext/>
        <w:keepLines/>
        <w:spacing w:line="480" w:lineRule="exact"/>
        <w:jc w:val="center"/>
        <w:outlineLvl w:val="0"/>
        <w:rPr>
          <w:rFonts w:ascii="黑体" w:hAnsi="黑体" w:eastAsia="黑体"/>
          <w:kern w:val="44"/>
          <w:sz w:val="32"/>
          <w:szCs w:val="32"/>
        </w:rPr>
      </w:pPr>
      <w:r>
        <w:rPr>
          <w:rFonts w:hint="eastAsia" w:ascii="黑体" w:hAnsi="黑体" w:eastAsia="黑体"/>
          <w:kern w:val="44"/>
          <w:sz w:val="32"/>
          <w:szCs w:val="32"/>
        </w:rPr>
        <w:t>第二节 深化国有企业收入分配改革</w:t>
      </w:r>
    </w:p>
    <w:p w14:paraId="6CE967C8">
      <w:pPr>
        <w:spacing w:line="480" w:lineRule="exact"/>
        <w:jc w:val="center"/>
        <w:rPr>
          <w:rFonts w:ascii="仿宋" w:hAnsi="仿宋" w:eastAsia="仿宋"/>
          <w:b/>
          <w:sz w:val="30"/>
          <w:szCs w:val="30"/>
        </w:rPr>
      </w:pPr>
    </w:p>
    <w:p w14:paraId="13DC27E6">
      <w:pPr>
        <w:spacing w:line="600" w:lineRule="exact"/>
        <w:ind w:firstLine="636" w:firstLineChars="200"/>
        <w:rPr>
          <w:sz w:val="30"/>
          <w:szCs w:val="30"/>
        </w:rPr>
      </w:pPr>
      <w:r>
        <w:rPr>
          <w:rFonts w:hint="eastAsia"/>
          <w:szCs w:val="32"/>
        </w:rPr>
        <w:t>持续推进国有企业工资决定机制改革和国有企业负责人薪酬制度改革，</w:t>
      </w:r>
      <w:r>
        <w:rPr>
          <w:szCs w:val="32"/>
        </w:rPr>
        <w:t>完善国有企业市场化薪酬分配机制，普遍实行全员绩效管理。</w:t>
      </w:r>
      <w:r>
        <w:rPr>
          <w:rFonts w:hint="eastAsia"/>
          <w:szCs w:val="32"/>
        </w:rPr>
        <w:t>深化企业内部分配制度改革，健全激励约束机制和市场化薪酬分配机制，将国有企业工资总额与经济效益挂钩、负责人薪酬与经营业绩挂钩，合理调节不同行业、不同企业职工及负责人之间的收入分配。完善国有企业工作内外收入监督管理办法、津补贴和福利管理意见等政策，规范国有企业工资收入分配秩序。</w:t>
      </w:r>
    </w:p>
    <w:p w14:paraId="661BF36B">
      <w:pPr>
        <w:spacing w:line="480" w:lineRule="exact"/>
        <w:ind w:firstLine="596" w:firstLineChars="200"/>
        <w:rPr>
          <w:sz w:val="30"/>
          <w:szCs w:val="30"/>
        </w:rPr>
      </w:pPr>
    </w:p>
    <w:p w14:paraId="520CCC1A">
      <w:pPr>
        <w:keepNext/>
        <w:keepLines/>
        <w:spacing w:line="500" w:lineRule="exact"/>
        <w:jc w:val="center"/>
        <w:outlineLvl w:val="0"/>
        <w:rPr>
          <w:rFonts w:ascii="黑体" w:hAnsi="黑体" w:eastAsia="黑体"/>
          <w:kern w:val="44"/>
          <w:sz w:val="32"/>
          <w:szCs w:val="32"/>
        </w:rPr>
      </w:pPr>
      <w:r>
        <w:rPr>
          <w:rFonts w:hint="eastAsia" w:ascii="黑体" w:hAnsi="黑体" w:eastAsia="黑体"/>
          <w:kern w:val="44"/>
          <w:sz w:val="32"/>
          <w:szCs w:val="32"/>
        </w:rPr>
        <w:t>第三节 完善事业单位工资制度</w:t>
      </w:r>
    </w:p>
    <w:p w14:paraId="096D5497">
      <w:pPr>
        <w:spacing w:line="500" w:lineRule="exact"/>
        <w:jc w:val="center"/>
        <w:rPr>
          <w:sz w:val="30"/>
          <w:szCs w:val="30"/>
        </w:rPr>
      </w:pPr>
    </w:p>
    <w:p w14:paraId="0B11E960">
      <w:pPr>
        <w:spacing w:line="600" w:lineRule="exact"/>
        <w:ind w:firstLine="636" w:firstLineChars="200"/>
        <w:rPr>
          <w:szCs w:val="32"/>
        </w:rPr>
      </w:pPr>
      <w:r>
        <w:rPr>
          <w:rFonts w:hint="eastAsia"/>
          <w:szCs w:val="32"/>
        </w:rPr>
        <w:t>按国家、省统一部署，贯彻落实事业单位各项工资制度改革，建立与经济社会发展水平相适应、与经济增长速度相匹配的工资动态调整机制，实现工资分配的规范化和法制化。</w:t>
      </w:r>
    </w:p>
    <w:p w14:paraId="27D61763">
      <w:pPr>
        <w:spacing w:line="600" w:lineRule="exact"/>
        <w:ind w:firstLine="636" w:firstLineChars="200"/>
        <w:rPr>
          <w:szCs w:val="32"/>
        </w:rPr>
      </w:pPr>
      <w:r>
        <w:rPr>
          <w:rFonts w:hint="eastAsia"/>
          <w:szCs w:val="32"/>
        </w:rPr>
        <w:t>推动事业单位工资制度改革，建立符合事业单位特点、体现岗位绩效和分级分类管理的收入分配制度。完善工资正常调整机制，健全宏观调控机制，逐步实现事业单位收入分配的科学化和规范化。按照“分类指导、分步实施、因地制宜、稳慎推进”要求，在事业单位分类改革的基础上，建立行之有效的事业单位绩效工资管理机制。结合财力实际，合理提高事业单位工作人员工资收入水平，助力居民收入增加。</w:t>
      </w:r>
    </w:p>
    <w:p w14:paraId="3349C3C4">
      <w:pPr>
        <w:spacing w:line="600" w:lineRule="exact"/>
        <w:ind w:firstLine="636" w:firstLineChars="200"/>
        <w:rPr>
          <w:szCs w:val="32"/>
        </w:rPr>
      </w:pPr>
      <w:r>
        <w:rPr>
          <w:rFonts w:hint="eastAsia"/>
          <w:szCs w:val="32"/>
        </w:rPr>
        <w:t>继续完善中小学教师工资待遇保障机制，确保义务教育教师工资收入水平不低于当地公务员平均工资收入水平；贯彻落实党中央“两个允许”精神，全面推进公立医院人事薪酬制度改革，继续完善适应医疗行业特点的薪酬制度；完善科技创新人才、高层次人才工资分配机制，落实以增加知识价值为导向的收入分配政策。</w:t>
      </w:r>
    </w:p>
    <w:p w14:paraId="241A90CE">
      <w:pPr>
        <w:keepNext/>
        <w:keepLines/>
        <w:spacing w:line="500" w:lineRule="exact"/>
        <w:jc w:val="center"/>
        <w:outlineLvl w:val="0"/>
        <w:rPr>
          <w:rFonts w:ascii="黑体" w:hAnsi="黑体" w:eastAsia="黑体"/>
          <w:kern w:val="44"/>
          <w:sz w:val="30"/>
          <w:szCs w:val="30"/>
        </w:rPr>
      </w:pPr>
    </w:p>
    <w:p w14:paraId="059198B5">
      <w:pPr>
        <w:keepNext/>
        <w:keepLines/>
        <w:spacing w:line="500" w:lineRule="exact"/>
        <w:jc w:val="center"/>
        <w:outlineLvl w:val="0"/>
        <w:rPr>
          <w:rFonts w:hint="eastAsia" w:ascii="黑体" w:hAnsi="黑体" w:eastAsia="黑体"/>
          <w:kern w:val="44"/>
          <w:sz w:val="32"/>
          <w:szCs w:val="32"/>
        </w:rPr>
      </w:pPr>
      <w:r>
        <w:rPr>
          <w:rFonts w:hint="eastAsia" w:ascii="黑体" w:hAnsi="黑体" w:eastAsia="黑体"/>
          <w:kern w:val="44"/>
          <w:sz w:val="32"/>
          <w:szCs w:val="32"/>
        </w:rPr>
        <w:t>第四节 提高机关事业单位工作人员和离退休人员待遇</w:t>
      </w:r>
    </w:p>
    <w:p w14:paraId="4CDF97D6">
      <w:pPr>
        <w:pStyle w:val="2"/>
      </w:pPr>
    </w:p>
    <w:p w14:paraId="4E89B8FE">
      <w:pPr>
        <w:spacing w:line="600" w:lineRule="exact"/>
        <w:ind w:firstLine="636" w:firstLineChars="200"/>
        <w:rPr>
          <w:szCs w:val="32"/>
        </w:rPr>
      </w:pPr>
      <w:r>
        <w:rPr>
          <w:rFonts w:hint="eastAsia"/>
          <w:szCs w:val="32"/>
        </w:rPr>
        <w:t>贯彻落实省政府办公厅《关于支持福州实施强省会战略的若干意见》，提高“十四五”期间福州市机关事业单位人员津补贴，将福州市直公务员规范津贴补贴水平提高至周边经济强省省会城市公务员人均水平，统筹提高事业单位工作人员绩效工资和机关事业单位离退休人员待遇。支持闽清县、永泰县逐步将机关事业单位津贴补贴（绩效工资）标准提高至福州市直水平，将马尾区公务员规范津贴补贴标准纳入我省“三类五档”体系。</w:t>
      </w:r>
    </w:p>
    <w:p w14:paraId="05B9F2EE">
      <w:pPr>
        <w:spacing w:line="500" w:lineRule="exact"/>
        <w:ind w:firstLine="624" w:firstLineChars="196"/>
        <w:rPr>
          <w:szCs w:val="32"/>
        </w:rPr>
      </w:pPr>
    </w:p>
    <w:p w14:paraId="5161F6BD">
      <w:pPr>
        <w:keepNext/>
        <w:keepLines/>
        <w:spacing w:line="500" w:lineRule="exact"/>
        <w:jc w:val="center"/>
        <w:outlineLvl w:val="0"/>
        <w:rPr>
          <w:rFonts w:ascii="黑体" w:hAnsi="黑体" w:eastAsia="黑体"/>
          <w:kern w:val="44"/>
          <w:szCs w:val="32"/>
        </w:rPr>
      </w:pPr>
      <w:r>
        <w:rPr>
          <w:rFonts w:ascii="黑体" w:hAnsi="黑体" w:eastAsia="黑体"/>
          <w:kern w:val="44"/>
          <w:szCs w:val="32"/>
        </w:rPr>
        <w:t>第</w:t>
      </w:r>
      <w:r>
        <w:rPr>
          <w:rFonts w:hint="eastAsia" w:ascii="黑体" w:hAnsi="黑体" w:eastAsia="黑体"/>
          <w:kern w:val="44"/>
          <w:szCs w:val="32"/>
        </w:rPr>
        <w:t>八</w:t>
      </w:r>
      <w:r>
        <w:rPr>
          <w:rFonts w:ascii="黑体" w:hAnsi="黑体" w:eastAsia="黑体"/>
          <w:kern w:val="44"/>
          <w:szCs w:val="32"/>
        </w:rPr>
        <w:t>章</w:t>
      </w:r>
      <w:r>
        <w:rPr>
          <w:rFonts w:hint="eastAsia" w:ascii="黑体" w:hAnsi="黑体" w:eastAsia="黑体"/>
          <w:kern w:val="44"/>
          <w:szCs w:val="32"/>
        </w:rPr>
        <w:t xml:space="preserve"> 积极</w:t>
      </w:r>
      <w:r>
        <w:rPr>
          <w:rFonts w:ascii="黑体" w:hAnsi="黑体" w:eastAsia="黑体"/>
          <w:kern w:val="44"/>
          <w:szCs w:val="32"/>
        </w:rPr>
        <w:t>构建和谐劳动关系</w:t>
      </w:r>
    </w:p>
    <w:p w14:paraId="2054B640">
      <w:pPr>
        <w:spacing w:line="500" w:lineRule="exact"/>
        <w:jc w:val="center"/>
        <w:rPr>
          <w:rFonts w:ascii="黑体" w:hAnsi="黑体" w:eastAsia="黑体"/>
          <w:sz w:val="30"/>
          <w:szCs w:val="30"/>
        </w:rPr>
      </w:pPr>
    </w:p>
    <w:p w14:paraId="2ACB53FE">
      <w:pPr>
        <w:spacing w:line="600" w:lineRule="exact"/>
        <w:ind w:firstLine="636" w:firstLineChars="200"/>
        <w:rPr>
          <w:szCs w:val="32"/>
        </w:rPr>
      </w:pPr>
      <w:r>
        <w:rPr>
          <w:rFonts w:hint="eastAsia"/>
          <w:szCs w:val="32"/>
        </w:rPr>
        <w:t>以《保障农民工工资支付条例》宣传落实为中心，以打造无欠薪示范城市、开展国家级深化构建和谐劳动关系综合配套改革试点为抓手，</w:t>
      </w:r>
      <w:r>
        <w:rPr>
          <w:szCs w:val="32"/>
        </w:rPr>
        <w:t>健全劳动关系协调机制，</w:t>
      </w:r>
      <w:r>
        <w:rPr>
          <w:rFonts w:hint="eastAsia"/>
          <w:szCs w:val="32"/>
        </w:rPr>
        <w:t>进一步完善党委领导、政府负责、社会协同、企业和职工参与、法治保障的</w:t>
      </w:r>
      <w:r>
        <w:rPr>
          <w:szCs w:val="32"/>
        </w:rPr>
        <w:t>工作格局，</w:t>
      </w:r>
      <w:r>
        <w:rPr>
          <w:rFonts w:hint="eastAsia"/>
          <w:szCs w:val="32"/>
        </w:rPr>
        <w:t>将</w:t>
      </w:r>
      <w:r>
        <w:rPr>
          <w:szCs w:val="32"/>
        </w:rPr>
        <w:t>构建和谐劳动关系纳入各级</w:t>
      </w:r>
      <w:r>
        <w:rPr>
          <w:rFonts w:hint="eastAsia"/>
          <w:szCs w:val="32"/>
        </w:rPr>
        <w:t>政府</w:t>
      </w:r>
      <w:r>
        <w:rPr>
          <w:szCs w:val="32"/>
        </w:rPr>
        <w:t>经济社会发展规划和政府目标责任考核体系。</w:t>
      </w:r>
      <w:r>
        <w:rPr>
          <w:rFonts w:hint="eastAsia"/>
          <w:szCs w:val="32"/>
        </w:rPr>
        <w:t>坚持解决当前突出问题与建立长效机制相结合，大力提升劳动关系治理能力和治理水平,</w:t>
      </w:r>
      <w:r>
        <w:rPr>
          <w:szCs w:val="32"/>
        </w:rPr>
        <w:t>保障劳动者合法权益，实现劳动关系矛盾的系统治理、依法治理、综合治理</w:t>
      </w:r>
      <w:r>
        <w:rPr>
          <w:rFonts w:hint="eastAsia"/>
          <w:szCs w:val="32"/>
        </w:rPr>
        <w:t>和</w:t>
      </w:r>
      <w:r>
        <w:rPr>
          <w:szCs w:val="32"/>
        </w:rPr>
        <w:t>源头治理，</w:t>
      </w:r>
      <w:r>
        <w:rPr>
          <w:rFonts w:hint="eastAsia"/>
          <w:szCs w:val="32"/>
        </w:rPr>
        <w:t>有效预防和化解劳动关系矛盾，</w:t>
      </w:r>
      <w:r>
        <w:rPr>
          <w:szCs w:val="32"/>
        </w:rPr>
        <w:t>构建规范有序、公正合理、互利共赢、和谐稳定的劳动关系。</w:t>
      </w:r>
    </w:p>
    <w:p w14:paraId="5C846EE1">
      <w:pPr>
        <w:pStyle w:val="2"/>
        <w:spacing w:after="0" w:line="600" w:lineRule="exact"/>
      </w:pPr>
    </w:p>
    <w:p w14:paraId="5B829B0A">
      <w:pPr>
        <w:keepNext/>
        <w:keepLines/>
        <w:spacing w:line="520" w:lineRule="exact"/>
        <w:jc w:val="center"/>
        <w:outlineLvl w:val="0"/>
        <w:rPr>
          <w:rFonts w:ascii="黑体" w:hAnsi="黑体" w:eastAsia="黑体"/>
          <w:kern w:val="44"/>
          <w:sz w:val="32"/>
          <w:szCs w:val="32"/>
        </w:rPr>
      </w:pPr>
      <w:r>
        <w:rPr>
          <w:rFonts w:ascii="黑体" w:hAnsi="黑体" w:eastAsia="黑体"/>
          <w:kern w:val="44"/>
          <w:sz w:val="32"/>
          <w:szCs w:val="32"/>
        </w:rPr>
        <w:t>第一节 健全劳动关系协调机制</w:t>
      </w:r>
    </w:p>
    <w:p w14:paraId="6EBBA565">
      <w:pPr>
        <w:spacing w:line="480" w:lineRule="exact"/>
        <w:ind w:firstLine="596" w:firstLineChars="200"/>
        <w:rPr>
          <w:sz w:val="30"/>
          <w:szCs w:val="30"/>
        </w:rPr>
      </w:pPr>
    </w:p>
    <w:p w14:paraId="5F9710D6">
      <w:pPr>
        <w:spacing w:line="600" w:lineRule="exact"/>
        <w:ind w:firstLine="636" w:firstLineChars="200"/>
        <w:rPr>
          <w:szCs w:val="32"/>
        </w:rPr>
      </w:pPr>
      <w:r>
        <w:rPr>
          <w:szCs w:val="32"/>
        </w:rPr>
        <w:t>加强劳动者权益保障，健全劳动合同制度和劳动关系协调机制，巩固大中型企业劳动合同签订率，提高小微企业和农民工劳动合同签订率，改善劳动合同履行质量。组织开展劳动关系和谐企业、工业园区</w:t>
      </w:r>
      <w:r>
        <w:rPr>
          <w:rFonts w:hint="eastAsia"/>
          <w:szCs w:val="32"/>
        </w:rPr>
        <w:t>、乡镇（街道）</w:t>
      </w:r>
      <w:r>
        <w:rPr>
          <w:szCs w:val="32"/>
        </w:rPr>
        <w:t>创建活动。</w:t>
      </w:r>
      <w:r>
        <w:rPr>
          <w:rFonts w:hint="eastAsia"/>
          <w:szCs w:val="32"/>
        </w:rPr>
        <w:t>开展劳动关系“和谐同行”能力提升三年行动，推进七个计划，加强劳动关系协调员队伍和基层能力建设，构建和谐劳动关系，全面提升劳动关系治理水平。加强劳动标准工作，推动落实休息休假制度。探索新业态劳动用工指导意见，维护新就业形态劳动者权益，促进共享用工健康发展。加强对劳务派遣的监管，在全省率先开展劳务派遣诚信等级评价工作，开展重点行业劳动用工指导服务，做好经济结构调整过程中规范裁员等劳动关系处理工作</w:t>
      </w:r>
      <w:r>
        <w:rPr>
          <w:szCs w:val="32"/>
        </w:rPr>
        <w:t>。</w:t>
      </w:r>
    </w:p>
    <w:p w14:paraId="5A64425F">
      <w:pPr>
        <w:spacing w:line="600" w:lineRule="exact"/>
        <w:ind w:firstLine="636" w:firstLineChars="200"/>
        <w:rPr>
          <w:szCs w:val="32"/>
        </w:rPr>
      </w:pPr>
      <w:r>
        <w:rPr>
          <w:rFonts w:hint="eastAsia"/>
          <w:szCs w:val="32"/>
        </w:rPr>
        <w:t>稳妥推进</w:t>
      </w:r>
      <w:r>
        <w:rPr>
          <w:szCs w:val="32"/>
        </w:rPr>
        <w:t>集体协商和集体合同制度</w:t>
      </w:r>
      <w:r>
        <w:rPr>
          <w:rFonts w:hint="eastAsia"/>
          <w:szCs w:val="32"/>
        </w:rPr>
        <w:t>，提高集体协商实效性</w:t>
      </w:r>
      <w:r>
        <w:rPr>
          <w:szCs w:val="32"/>
        </w:rPr>
        <w:t>。完善协调劳动关系三方机制，加强和创新三方机制组织建设，积极推动工业园区、乡镇（街道）和产业系统建立三方机制。</w:t>
      </w:r>
      <w:r>
        <w:rPr>
          <w:rFonts w:hint="eastAsia"/>
          <w:szCs w:val="32"/>
        </w:rPr>
        <w:t>充分发挥三方机制作用，不断完善政府、工会、企业共同参与的劳动关系协商协调机制。建立健全劳动关系风险监测预警体系，加强劳动关系形势分析研判和风险监测预警，坚决防范系统性、区域性风险。</w:t>
      </w:r>
    </w:p>
    <w:p w14:paraId="071949DE">
      <w:pPr>
        <w:spacing w:line="600" w:lineRule="exact"/>
        <w:ind w:firstLine="636" w:firstLineChars="200"/>
        <w:rPr>
          <w:szCs w:val="32"/>
        </w:rPr>
      </w:pPr>
      <w:r>
        <w:rPr>
          <w:rFonts w:hint="eastAsia"/>
          <w:szCs w:val="32"/>
        </w:rPr>
        <w:t>开展国家级深化构建和谐劳动关系综合配套改革试点工作，推进鼓楼区、马尾区构建和谐劳动关系示范区以及福清市创建“无欠薪城市”建设，创新“两新</w:t>
      </w:r>
      <w:r>
        <w:rPr>
          <w:szCs w:val="32"/>
        </w:rPr>
        <w:t>+三方”党建引领构建和谐劳动关系等7项工作机制，探索开展小微企业劳动关系事务托管服务、建设劳动关系公共服务中心、</w:t>
      </w:r>
      <w:r>
        <w:rPr>
          <w:rFonts w:hint="eastAsia"/>
          <w:szCs w:val="32"/>
        </w:rPr>
        <w:t>建立行业协会商会构建和谐劳动关系协同治理工作机制等工作，着力构建以“企业+劳动者”需求为主要导向的劳动关系公共服务体制、由“三方+行业+企业”组成的多层次劳动关系协商协调体制，积极探索打造“区域示范、机制联动、点面结合、统筹推进”的构建和谐劳动关系“福州模式”。</w:t>
      </w:r>
    </w:p>
    <w:p w14:paraId="053F8752">
      <w:pPr>
        <w:spacing w:line="400" w:lineRule="exact"/>
        <w:jc w:val="center"/>
        <w:rPr>
          <w:rFonts w:ascii="仿宋" w:hAnsi="仿宋" w:eastAsia="仿宋"/>
          <w:b/>
          <w:sz w:val="30"/>
          <w:szCs w:val="30"/>
        </w:rPr>
      </w:pPr>
    </w:p>
    <w:p w14:paraId="55288D1F">
      <w:pPr>
        <w:keepNext/>
        <w:keepLines/>
        <w:spacing w:line="540" w:lineRule="exact"/>
        <w:jc w:val="center"/>
        <w:outlineLvl w:val="0"/>
        <w:rPr>
          <w:rFonts w:ascii="黑体" w:hAnsi="黑体" w:eastAsia="黑体"/>
          <w:kern w:val="44"/>
          <w:sz w:val="32"/>
          <w:szCs w:val="32"/>
        </w:rPr>
      </w:pPr>
      <w:r>
        <w:rPr>
          <w:rFonts w:ascii="黑体" w:hAnsi="黑体" w:eastAsia="黑体"/>
          <w:kern w:val="44"/>
          <w:sz w:val="32"/>
          <w:szCs w:val="32"/>
        </w:rPr>
        <w:t>第二节 完善劳动人事争议处理机制</w:t>
      </w:r>
    </w:p>
    <w:p w14:paraId="468C211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96" w:firstLineChars="200"/>
        <w:jc w:val="both"/>
        <w:textAlignment w:val="auto"/>
        <w:outlineLvl w:val="9"/>
        <w:rPr>
          <w:sz w:val="30"/>
          <w:szCs w:val="30"/>
        </w:rPr>
      </w:pPr>
    </w:p>
    <w:p w14:paraId="319CC080">
      <w:pPr>
        <w:spacing w:line="600" w:lineRule="exact"/>
        <w:ind w:firstLine="636" w:firstLineChars="200"/>
        <w:rPr>
          <w:rFonts w:cs="仿宋_GB2312"/>
          <w:szCs w:val="32"/>
        </w:rPr>
      </w:pPr>
      <w:r>
        <w:rPr>
          <w:rFonts w:hint="eastAsia" w:cs="仿宋_GB2312"/>
          <w:szCs w:val="32"/>
        </w:rPr>
        <w:t>推进劳动人事争议调解仲裁规范化、标准化、专业化、信息化建设。完善多层次调解网络，引导企事业完善内部争议预防和调处机制，重点推动区域性、行业性劳动人事争议调解组织建设，充分发挥乡镇（街道）劳动人事争议调解组织作用；鼓励支持多元力量参与调解工作，通过打造金牌调解组织活动，扎实发挥劳动人事争议预防调解示范作用，推动案前调解及“互联网</w:t>
      </w:r>
      <w:r>
        <w:rPr>
          <w:rFonts w:cs="仿宋_GB2312"/>
          <w:szCs w:val="32"/>
        </w:rPr>
        <w:t>+调解”工作，提升劳动人事争议调解成功率。</w:t>
      </w:r>
    </w:p>
    <w:p w14:paraId="1FB03FD0">
      <w:pPr>
        <w:spacing w:line="600" w:lineRule="exact"/>
        <w:ind w:firstLine="636" w:firstLineChars="200"/>
        <w:rPr>
          <w:rFonts w:cs="仿宋_GB2312"/>
          <w:szCs w:val="32"/>
        </w:rPr>
      </w:pPr>
      <w:r>
        <w:rPr>
          <w:rFonts w:hint="eastAsia" w:cs="仿宋_GB2312"/>
          <w:szCs w:val="32"/>
        </w:rPr>
        <w:t>突出与法院、司法（法律援助）、工会、企联、妇联等部门联动，强化多元处理机制；联合劳动关系、劳动监察、劳动仲裁等内部力量，形成预防、调解、仲裁、诉讼、执行职能“五位一体”的止讼解纷工作模式。</w:t>
      </w:r>
    </w:p>
    <w:p w14:paraId="7A93E624">
      <w:pPr>
        <w:spacing w:line="600" w:lineRule="exact"/>
        <w:ind w:firstLine="636" w:firstLineChars="200"/>
        <w:rPr>
          <w:rFonts w:cs="仿宋_GB2312"/>
          <w:szCs w:val="32"/>
        </w:rPr>
      </w:pPr>
      <w:r>
        <w:rPr>
          <w:rFonts w:hint="eastAsia" w:cs="仿宋_GB2312"/>
          <w:szCs w:val="32"/>
        </w:rPr>
        <w:t>强化办案管理和指导，探索仲裁委员会内部监督机制，试行裁决书结果网上公开，加强对仲裁办案全过程的规范化管理；创新办案机制，适时推广我市仲裁机构要素式办案模式试点工作，推进调解仲裁诉讼的衔接，实现“法院执行</w:t>
      </w:r>
      <w:r>
        <w:rPr>
          <w:rFonts w:cs="仿宋_GB2312"/>
          <w:szCs w:val="32"/>
        </w:rPr>
        <w:t>+劳动维权”全覆盖，提升仲裁终结率。建立健全案件分类处理制度，实现应终局必终局，加大先行裁决、先予执行裁决力度，提升仲裁结案率。</w:t>
      </w:r>
    </w:p>
    <w:p w14:paraId="5D184C97">
      <w:pPr>
        <w:spacing w:line="600" w:lineRule="exact"/>
        <w:ind w:firstLine="636" w:firstLineChars="200"/>
        <w:rPr>
          <w:rFonts w:cs="仿宋_GB2312"/>
          <w:szCs w:val="32"/>
        </w:rPr>
      </w:pPr>
      <w:r>
        <w:rPr>
          <w:rFonts w:hint="eastAsia" w:cs="仿宋_GB2312"/>
          <w:szCs w:val="32"/>
        </w:rPr>
        <w:t>加强调解员仲裁员队伍建设。建立健全调解组织和调解员名册制度。落实调解员仲裁员分级分类培训规定，打造专业化职业化调解员仲裁员队伍。鼓励企业人力资源、法务、工会部门工作人员参与调解工作，吸纳专家学者、律师和法官、劳动人事争议仲裁员、工会劳动法律监督员等力量充实兼职调解员队伍</w:t>
      </w:r>
      <w:r>
        <w:rPr>
          <w:rFonts w:cs="仿宋_GB2312"/>
          <w:szCs w:val="32"/>
        </w:rPr>
        <w:t>;</w:t>
      </w:r>
      <w:r>
        <w:rPr>
          <w:rFonts w:hint="eastAsia" w:cs="仿宋_GB2312"/>
          <w:szCs w:val="32"/>
        </w:rPr>
        <w:t>组织开展“千名青年仲裁员服务千家企业”活动，主动深入企业加强普法宣传，给予企业规范用工建议，提升专业水平和公共服务能力。推进仲裁办案场所标准化建设，改善调解仲裁服务环境。推进“互联网</w:t>
      </w:r>
      <w:r>
        <w:rPr>
          <w:rFonts w:cs="仿宋_GB2312"/>
          <w:szCs w:val="32"/>
        </w:rPr>
        <w:t>+调解仲裁”信息建设，提高劳动人事争议处理效能。</w:t>
      </w:r>
    </w:p>
    <w:p w14:paraId="48FBACCC">
      <w:pPr>
        <w:widowControl/>
        <w:spacing w:line="600" w:lineRule="exact"/>
        <w:rPr>
          <w:rFonts w:ascii="仿宋" w:hAnsi="仿宋" w:eastAsia="仿宋"/>
          <w:b/>
          <w:sz w:val="32"/>
          <w:szCs w:val="32"/>
        </w:rPr>
      </w:pPr>
    </w:p>
    <w:p w14:paraId="0C4CB334">
      <w:pPr>
        <w:pStyle w:val="2"/>
      </w:pPr>
    </w:p>
    <w:p w14:paraId="5757FAD1">
      <w:pPr>
        <w:keepNext/>
        <w:keepLines/>
        <w:spacing w:line="540" w:lineRule="exact"/>
        <w:jc w:val="center"/>
        <w:outlineLvl w:val="0"/>
        <w:rPr>
          <w:rFonts w:ascii="黑体" w:hAnsi="黑体" w:eastAsia="黑体"/>
          <w:kern w:val="44"/>
          <w:sz w:val="32"/>
          <w:szCs w:val="32"/>
        </w:rPr>
      </w:pPr>
      <w:r>
        <w:rPr>
          <w:rFonts w:hint="eastAsia" w:ascii="黑体" w:hAnsi="黑体" w:eastAsia="黑体"/>
          <w:kern w:val="44"/>
          <w:sz w:val="32"/>
          <w:szCs w:val="32"/>
        </w:rPr>
        <w:t>第三节 提高劳动保障监察执法效能</w:t>
      </w:r>
    </w:p>
    <w:p w14:paraId="193BAF7D">
      <w:pPr>
        <w:widowControl/>
        <w:autoSpaceDN w:val="0"/>
        <w:spacing w:line="540" w:lineRule="exact"/>
        <w:ind w:firstLine="643"/>
        <w:rPr>
          <w:szCs w:val="32"/>
        </w:rPr>
      </w:pPr>
    </w:p>
    <w:p w14:paraId="2B07AC4E">
      <w:pPr>
        <w:spacing w:line="600" w:lineRule="exact"/>
        <w:ind w:firstLine="636" w:firstLineChars="200"/>
        <w:rPr>
          <w:szCs w:val="32"/>
        </w:rPr>
      </w:pPr>
      <w:r>
        <w:rPr>
          <w:rFonts w:hint="eastAsia"/>
          <w:szCs w:val="32"/>
        </w:rPr>
        <w:t>贯彻落实《保障农民工工资支付条例》，修订完善相关配套政策措施，建设欠薪预警平台，开展“无欠薪项目部”创建工作，完善保障农民工工资支付工作县（市）区、市直责任部门绩效考核机制，以考核促进各项工作目标落实到位。加强欠薪源头治理，实施农民工实名制管理、农民工工资专用账户管理、总承包单位委托银行代发工资、工资保证金、维权信息告示牌、工程款支付担保、工程过程结算等制度措施，保障农民工按时足额获得劳动报酬。</w:t>
      </w:r>
    </w:p>
    <w:p w14:paraId="7AAB7B7A">
      <w:pPr>
        <w:spacing w:line="600" w:lineRule="exact"/>
        <w:ind w:firstLine="636" w:firstLineChars="200"/>
        <w:rPr>
          <w:szCs w:val="32"/>
        </w:rPr>
      </w:pPr>
      <w:r>
        <w:rPr>
          <w:rFonts w:hint="eastAsia"/>
          <w:szCs w:val="32"/>
        </w:rPr>
        <w:t>推进劳动保障监察执法规范化建设。持续贯彻实施行政执法三项制度及“双随机</w:t>
      </w:r>
      <w:r>
        <w:rPr>
          <w:rFonts w:hint="eastAsia"/>
          <w:szCs w:val="32"/>
          <w:lang w:eastAsia="zh-CN"/>
        </w:rPr>
        <w:t>、</w:t>
      </w:r>
      <w:r>
        <w:rPr>
          <w:rFonts w:hint="eastAsia"/>
          <w:szCs w:val="32"/>
        </w:rPr>
        <w:t>一公开”工作机制，持续开展对突出劳动保障违法问题的专项整治。健全执法自由裁量基准制度，规范劳动保障监察执法程序，实行劳动监察执法全过程记录，做到行政执法全公示，实现劳动监察执法公开、公平、公正。</w:t>
      </w:r>
    </w:p>
    <w:p w14:paraId="3B9C3C98">
      <w:pPr>
        <w:spacing w:line="600" w:lineRule="exact"/>
        <w:ind w:firstLine="636" w:firstLineChars="200"/>
        <w:rPr>
          <w:szCs w:val="32"/>
        </w:rPr>
      </w:pPr>
      <w:r>
        <w:rPr>
          <w:rFonts w:hint="eastAsia"/>
          <w:szCs w:val="32"/>
        </w:rPr>
        <w:t>加强劳动保障监察执法能力建设。充实基层执法力量，大力推进劳动保障监察网格化、网络化管理，</w:t>
      </w:r>
      <w:r>
        <w:rPr>
          <w:szCs w:val="32"/>
        </w:rPr>
        <w:t>建立劳动保障监察举报投诉联动处理机制。</w:t>
      </w:r>
      <w:r>
        <w:rPr>
          <w:rFonts w:hint="eastAsia"/>
          <w:szCs w:val="32"/>
        </w:rPr>
        <w:t>推进分类监控管理制度建设，对违法行为高发的重点地区、重点行业和重点企业实施重点监管。推进办案场所建设，强化执法装备配备，落实经费保障。健全完善监察执法与刑事司法衔接机制，严厉打击拒不支付劳动报酬等违法犯罪行为。建立健全劳动保障守信激励和失信惩戒机制，建立企业劳动保障诚信等级评价和重大违法行为社会公布制度，将恶意欠薪的用人单位列入“黑名单”并实施联合惩戒，使其“一处违法、处处受限”，提高欠薪主体失信违法成本。</w:t>
      </w:r>
    </w:p>
    <w:p w14:paraId="498196C0">
      <w:pPr>
        <w:pStyle w:val="11"/>
        <w:spacing w:line="400" w:lineRule="exact"/>
        <w:rPr>
          <w:sz w:val="30"/>
          <w:szCs w:val="30"/>
        </w:rPr>
      </w:pPr>
    </w:p>
    <w:p w14:paraId="39ED700B">
      <w:pPr>
        <w:pStyle w:val="3"/>
        <w:spacing w:line="540" w:lineRule="exact"/>
        <w:rPr>
          <w:rFonts w:ascii="黑体" w:hAnsi="黑体" w:eastAsia="黑体"/>
          <w:b w:val="0"/>
          <w:bCs w:val="0"/>
          <w:sz w:val="32"/>
          <w:szCs w:val="32"/>
        </w:rPr>
      </w:pPr>
      <w:r>
        <w:rPr>
          <w:rFonts w:hint="eastAsia" w:ascii="黑体" w:hAnsi="黑体" w:eastAsia="黑体"/>
          <w:b w:val="0"/>
          <w:bCs w:val="0"/>
          <w:sz w:val="32"/>
          <w:szCs w:val="32"/>
        </w:rPr>
        <w:t>第四节</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加强农民工服务保障工作</w:t>
      </w:r>
    </w:p>
    <w:p w14:paraId="52F89A9F">
      <w:pPr>
        <w:spacing w:line="540" w:lineRule="exact"/>
        <w:rPr>
          <w:rFonts w:ascii="黑体" w:hAnsi="黑体" w:eastAsia="黑体"/>
          <w:szCs w:val="30"/>
        </w:rPr>
      </w:pPr>
    </w:p>
    <w:p w14:paraId="56DF8C0A">
      <w:pPr>
        <w:spacing w:line="600" w:lineRule="exact"/>
        <w:ind w:firstLine="636" w:firstLineChars="200"/>
        <w:rPr>
          <w:szCs w:val="32"/>
        </w:rPr>
      </w:pPr>
      <w:r>
        <w:rPr>
          <w:rFonts w:hint="eastAsia"/>
          <w:szCs w:val="32"/>
        </w:rPr>
        <w:t>加快推进农民工市民化，不断提升农民工平等享受城镇基本公共服务水平，促进在城镇稳定就业生活的农民工市民化。落实农民工与城镇职工平等就业制度，多渠道促进农民工就业创业，加强农民工输入输出地劳务对接，支持农民工返乡创业和就地就近就业。大规模开展农民工培训，不断提升农民工职业技能和综合素质。健全农民工劳动权益保护机制，加强新就业形态农民工劳动权益保障。扩大农民工参加城镇职工社会保险覆盖范围。整合各部门公共服务资源，建立农民工综合服务平台，提高农民工工作信息化水平，为农民工提供规范、便捷、高效、优质的“一站式”综合服务。提高农民工基层服务能力，完善农民工服务保障机制。发挥农民工在乡村振兴中的作用，鼓励和引导更多农民工投身乡村振兴建设。发挥各类媒体的宣传和监督作用，对侵害农民工权益的典型事件进行曝光，积极营造全社会关心关爱农民工的良好氛围。</w:t>
      </w:r>
    </w:p>
    <w:p w14:paraId="61B0313A">
      <w:pPr>
        <w:widowControl/>
        <w:spacing w:line="600" w:lineRule="atLeast"/>
        <w:jc w:val="center"/>
        <w:rPr>
          <w:rFonts w:hint="eastAsia" w:ascii="仿宋" w:hAnsi="仿宋" w:eastAsia="仿宋"/>
          <w:b/>
          <w:sz w:val="30"/>
          <w:szCs w:val="30"/>
        </w:rPr>
      </w:pPr>
    </w:p>
    <w:p w14:paraId="1D69FD63">
      <w:pPr>
        <w:widowControl/>
        <w:spacing w:line="600" w:lineRule="atLeast"/>
        <w:jc w:val="center"/>
        <w:rPr>
          <w:rFonts w:hint="eastAsia" w:ascii="仿宋" w:hAnsi="仿宋" w:eastAsia="仿宋"/>
          <w:b/>
          <w:sz w:val="30"/>
          <w:szCs w:val="30"/>
        </w:rPr>
      </w:pPr>
    </w:p>
    <w:p w14:paraId="5F46DD94">
      <w:pPr>
        <w:widowControl/>
        <w:spacing w:line="600" w:lineRule="atLeast"/>
        <w:jc w:val="center"/>
        <w:rPr>
          <w:rFonts w:hint="eastAsia" w:ascii="仿宋" w:hAnsi="仿宋" w:eastAsia="仿宋"/>
          <w:b/>
          <w:sz w:val="30"/>
          <w:szCs w:val="30"/>
        </w:rPr>
      </w:pPr>
    </w:p>
    <w:p w14:paraId="2932A4D1">
      <w:pPr>
        <w:widowControl/>
        <w:spacing w:line="600" w:lineRule="atLeast"/>
        <w:jc w:val="center"/>
        <w:rPr>
          <w:rFonts w:ascii="仿宋" w:hAnsi="仿宋" w:eastAsia="仿宋"/>
          <w:b/>
          <w:sz w:val="30"/>
          <w:szCs w:val="30"/>
        </w:rPr>
      </w:pPr>
      <w:r>
        <w:rPr>
          <w:rFonts w:hint="eastAsia" w:ascii="仿宋" w:hAnsi="仿宋" w:eastAsia="仿宋"/>
          <w:b/>
          <w:sz w:val="30"/>
          <w:szCs w:val="30"/>
        </w:rPr>
        <w:t>专栏8：维权保障五个机制</w:t>
      </w:r>
    </w:p>
    <w:tbl>
      <w:tblPr>
        <w:tblStyle w:val="16"/>
        <w:tblW w:w="8592"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540"/>
        <w:gridCol w:w="8052"/>
      </w:tblGrid>
      <w:tr w14:paraId="6C6CD7E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29BCB3D">
            <w:pPr>
              <w:widowControl/>
              <w:spacing w:line="440" w:lineRule="exact"/>
              <w:jc w:val="left"/>
              <w:rPr>
                <w:rFonts w:ascii="楷体" w:hAnsi="楷体" w:eastAsia="楷体" w:cs="楷体"/>
                <w:kern w:val="0"/>
                <w:sz w:val="28"/>
                <w:szCs w:val="28"/>
              </w:rPr>
            </w:pPr>
            <w:r>
              <w:rPr>
                <w:rFonts w:hint="eastAsia" w:ascii="楷体" w:hAnsi="楷体" w:eastAsia="楷体" w:cs="楷体"/>
                <w:b/>
                <w:bCs/>
                <w:kern w:val="0"/>
                <w:sz w:val="28"/>
                <w:szCs w:val="28"/>
              </w:rPr>
              <w:t>01</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629A1D3">
            <w:pPr>
              <w:widowControl/>
              <w:spacing w:line="440" w:lineRule="exact"/>
              <w:jc w:val="left"/>
              <w:rPr>
                <w:rFonts w:ascii="楷体" w:hAnsi="楷体" w:eastAsia="楷体" w:cs="楷体"/>
                <w:kern w:val="0"/>
                <w:sz w:val="28"/>
                <w:szCs w:val="28"/>
              </w:rPr>
            </w:pPr>
            <w:r>
              <w:rPr>
                <w:rFonts w:hint="eastAsia" w:ascii="楷体" w:hAnsi="楷体" w:eastAsia="楷体" w:cs="楷体"/>
                <w:b/>
                <w:bCs/>
                <w:sz w:val="28"/>
                <w:szCs w:val="28"/>
              </w:rPr>
              <w:t>完善欠薪源头治理机制</w:t>
            </w:r>
          </w:p>
        </w:tc>
      </w:tr>
      <w:tr w14:paraId="0FF927E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6F33F24">
            <w:pPr>
              <w:widowControl/>
              <w:spacing w:line="44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1AE5270">
            <w:pPr>
              <w:spacing w:line="440" w:lineRule="exact"/>
              <w:ind w:firstLine="556" w:firstLineChars="200"/>
              <w:jc w:val="left"/>
              <w:rPr>
                <w:rFonts w:ascii="楷体" w:hAnsi="楷体" w:eastAsia="楷体" w:cs="楷体"/>
                <w:kern w:val="0"/>
                <w:sz w:val="28"/>
                <w:szCs w:val="28"/>
              </w:rPr>
            </w:pPr>
            <w:r>
              <w:rPr>
                <w:rFonts w:hint="eastAsia" w:ascii="楷体_GB2312" w:hAnsi="仿宋" w:eastAsia="楷体_GB2312"/>
                <w:sz w:val="28"/>
                <w:szCs w:val="28"/>
              </w:rPr>
              <w:t>建立健全欠薪源头治理，实施农民工实名制管理、农民工工资专用账户管理、总承包单位委托银行代发工资、工资保证金、维权信息告示牌、工程款支付担保、工程过程结算等7项制度措施，保障农民工按时足额获得劳动报酬。</w:t>
            </w:r>
          </w:p>
        </w:tc>
      </w:tr>
      <w:tr w14:paraId="426F57B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B542A5E">
            <w:pPr>
              <w:widowControl/>
              <w:spacing w:line="440" w:lineRule="exact"/>
              <w:jc w:val="left"/>
              <w:rPr>
                <w:rFonts w:ascii="楷体" w:hAnsi="楷体" w:eastAsia="楷体" w:cs="楷体"/>
                <w:kern w:val="0"/>
                <w:sz w:val="28"/>
                <w:szCs w:val="28"/>
              </w:rPr>
            </w:pPr>
            <w:r>
              <w:rPr>
                <w:rFonts w:hint="eastAsia" w:ascii="楷体" w:hAnsi="楷体" w:eastAsia="楷体" w:cs="楷体"/>
                <w:b/>
                <w:bCs/>
                <w:kern w:val="0"/>
                <w:sz w:val="28"/>
                <w:szCs w:val="28"/>
              </w:rPr>
              <w:t>02</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07DD496">
            <w:pPr>
              <w:widowControl/>
              <w:spacing w:line="440" w:lineRule="exact"/>
              <w:jc w:val="left"/>
              <w:rPr>
                <w:rFonts w:ascii="楷体" w:hAnsi="楷体" w:eastAsia="楷体" w:cs="楷体"/>
                <w:kern w:val="0"/>
                <w:sz w:val="28"/>
                <w:szCs w:val="28"/>
              </w:rPr>
            </w:pPr>
            <w:r>
              <w:rPr>
                <w:rFonts w:hint="eastAsia" w:ascii="楷体" w:hAnsi="楷体" w:eastAsia="楷体" w:cs="楷体"/>
                <w:b/>
                <w:bCs/>
                <w:sz w:val="28"/>
                <w:szCs w:val="28"/>
              </w:rPr>
              <w:t>完善目标责任机制</w:t>
            </w:r>
          </w:p>
        </w:tc>
      </w:tr>
      <w:tr w14:paraId="402671A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4D302719">
            <w:pPr>
              <w:widowControl/>
              <w:spacing w:line="44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536DC38">
            <w:pPr>
              <w:spacing w:line="440" w:lineRule="exact"/>
              <w:ind w:firstLine="556" w:firstLineChars="200"/>
              <w:rPr>
                <w:rFonts w:ascii="楷体" w:hAnsi="楷体" w:eastAsia="宋体" w:cs="楷体"/>
                <w:kern w:val="0"/>
                <w:sz w:val="28"/>
                <w:szCs w:val="28"/>
              </w:rPr>
            </w:pPr>
            <w:r>
              <w:rPr>
                <w:rFonts w:hint="eastAsia" w:ascii="楷体_GB2312" w:hAnsi="仿宋" w:eastAsia="楷体_GB2312"/>
                <w:sz w:val="28"/>
                <w:szCs w:val="28"/>
              </w:rPr>
              <w:t>健全完善和谐劳动关系长效机制，在常态化、长效化上下功夫，通过强化组织领导，开展专项行动，加强部门联动，保持打击态势和推行信用监管等方式，明确各部门责任清单和任务清单。</w:t>
            </w:r>
          </w:p>
        </w:tc>
      </w:tr>
      <w:tr w14:paraId="1CCD163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E0CBBA5">
            <w:pPr>
              <w:widowControl/>
              <w:spacing w:line="440" w:lineRule="exact"/>
              <w:jc w:val="left"/>
              <w:rPr>
                <w:rFonts w:ascii="楷体" w:hAnsi="楷体" w:eastAsia="楷体" w:cs="楷体"/>
                <w:kern w:val="0"/>
                <w:sz w:val="28"/>
                <w:szCs w:val="28"/>
              </w:rPr>
            </w:pPr>
            <w:r>
              <w:rPr>
                <w:rFonts w:hint="eastAsia" w:ascii="楷体" w:hAnsi="楷体" w:eastAsia="楷体" w:cs="楷体"/>
                <w:b/>
                <w:bCs/>
                <w:kern w:val="0"/>
                <w:sz w:val="28"/>
                <w:szCs w:val="28"/>
              </w:rPr>
              <w:t>03</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236B7C39">
            <w:pPr>
              <w:widowControl/>
              <w:spacing w:line="440" w:lineRule="exact"/>
              <w:jc w:val="left"/>
              <w:rPr>
                <w:rFonts w:ascii="楷体" w:hAnsi="楷体" w:eastAsia="楷体" w:cs="楷体"/>
                <w:sz w:val="28"/>
                <w:szCs w:val="28"/>
              </w:rPr>
            </w:pPr>
            <w:r>
              <w:rPr>
                <w:rFonts w:hint="eastAsia" w:ascii="楷体" w:hAnsi="楷体" w:eastAsia="楷体" w:cs="楷体"/>
                <w:b/>
                <w:bCs/>
                <w:sz w:val="28"/>
                <w:szCs w:val="28"/>
              </w:rPr>
              <w:t>完善多元处理机制</w:t>
            </w:r>
          </w:p>
        </w:tc>
      </w:tr>
      <w:tr w14:paraId="0AE317E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CA6D2D9">
            <w:pPr>
              <w:widowControl/>
              <w:spacing w:line="44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55C2270">
            <w:pPr>
              <w:spacing w:line="440" w:lineRule="exact"/>
              <w:ind w:firstLine="556" w:firstLineChars="200"/>
              <w:rPr>
                <w:rFonts w:ascii="楷体_GB2312" w:hAnsi="仿宋" w:eastAsia="楷体_GB2312"/>
                <w:sz w:val="28"/>
                <w:szCs w:val="28"/>
              </w:rPr>
            </w:pPr>
            <w:r>
              <w:rPr>
                <w:rFonts w:hint="eastAsia" w:ascii="楷体_GB2312" w:hAnsi="仿宋" w:eastAsia="楷体_GB2312"/>
                <w:sz w:val="28"/>
                <w:szCs w:val="28"/>
              </w:rPr>
              <w:t>完善劳动人事争议仲裁制度，创新仲裁办案方式，优化仲裁办案程序，推进调解仲裁诉讼的衔接，提升仲裁终结率。完善劳动人事争议多元处理机制，鼓励支持多元力量参与调解工作，健全人民调解、仲裁调解、司法调解联动工作体系。</w:t>
            </w:r>
          </w:p>
        </w:tc>
      </w:tr>
      <w:tr w14:paraId="30A0AD1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4F81E691">
            <w:pPr>
              <w:widowControl/>
              <w:spacing w:line="440" w:lineRule="exact"/>
              <w:jc w:val="left"/>
              <w:rPr>
                <w:rFonts w:ascii="楷体" w:hAnsi="楷体" w:eastAsia="楷体" w:cs="楷体"/>
                <w:kern w:val="0"/>
                <w:sz w:val="28"/>
                <w:szCs w:val="28"/>
              </w:rPr>
            </w:pPr>
            <w:r>
              <w:rPr>
                <w:rFonts w:hint="eastAsia" w:ascii="楷体" w:hAnsi="楷体" w:eastAsia="楷体" w:cs="楷体"/>
                <w:b/>
                <w:bCs/>
                <w:kern w:val="0"/>
                <w:sz w:val="28"/>
                <w:szCs w:val="28"/>
              </w:rPr>
              <w:t>04</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C34C001">
            <w:pPr>
              <w:widowControl/>
              <w:spacing w:line="440" w:lineRule="exact"/>
              <w:jc w:val="left"/>
              <w:rPr>
                <w:rFonts w:ascii="楷体" w:hAnsi="楷体" w:eastAsia="楷体" w:cs="楷体"/>
                <w:sz w:val="28"/>
                <w:szCs w:val="28"/>
              </w:rPr>
            </w:pPr>
            <w:r>
              <w:rPr>
                <w:rFonts w:hint="eastAsia" w:ascii="楷体" w:hAnsi="楷体" w:eastAsia="楷体" w:cs="楷体"/>
                <w:b/>
                <w:bCs/>
                <w:sz w:val="28"/>
                <w:szCs w:val="28"/>
              </w:rPr>
              <w:t>完善信用评价机制</w:t>
            </w:r>
          </w:p>
        </w:tc>
      </w:tr>
      <w:tr w14:paraId="50B251B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B9FE660">
            <w:pPr>
              <w:widowControl/>
              <w:spacing w:line="44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46E0891E">
            <w:pPr>
              <w:spacing w:line="440" w:lineRule="exact"/>
              <w:ind w:firstLine="556" w:firstLineChars="200"/>
              <w:rPr>
                <w:rFonts w:ascii="楷体_GB2312" w:hAnsi="仿宋" w:eastAsia="楷体_GB2312"/>
                <w:sz w:val="28"/>
                <w:szCs w:val="28"/>
              </w:rPr>
            </w:pPr>
            <w:r>
              <w:rPr>
                <w:rFonts w:hint="eastAsia" w:ascii="楷体_GB2312" w:hAnsi="仿宋" w:eastAsia="楷体_GB2312"/>
                <w:sz w:val="28"/>
                <w:szCs w:val="28"/>
              </w:rPr>
              <w:t>建立健全劳动保障守信激励和失信惩戒机制，建立企业劳动保障诚信等级评价和重大违法行为社会公布制度，将恶意欠薪的用人单位列入“黑名单”并实施联合惩戒，使其“一处违法、处处受限”，提高欠薪主体失信违法成本。</w:t>
            </w:r>
          </w:p>
        </w:tc>
      </w:tr>
      <w:tr w14:paraId="2637460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B3FE161">
            <w:pPr>
              <w:widowControl/>
              <w:spacing w:line="440" w:lineRule="exact"/>
              <w:jc w:val="left"/>
              <w:rPr>
                <w:rFonts w:ascii="楷体" w:hAnsi="楷体" w:eastAsia="楷体" w:cs="楷体"/>
                <w:kern w:val="0"/>
                <w:sz w:val="28"/>
                <w:szCs w:val="28"/>
              </w:rPr>
            </w:pPr>
            <w:r>
              <w:rPr>
                <w:rFonts w:hint="eastAsia" w:ascii="楷体" w:hAnsi="楷体" w:eastAsia="楷体" w:cs="楷体"/>
                <w:b/>
                <w:bCs/>
                <w:kern w:val="0"/>
                <w:sz w:val="28"/>
                <w:szCs w:val="28"/>
              </w:rPr>
              <w:t>05</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4C12A36">
            <w:pPr>
              <w:widowControl/>
              <w:spacing w:line="440" w:lineRule="exact"/>
              <w:jc w:val="left"/>
              <w:rPr>
                <w:rFonts w:ascii="楷体" w:hAnsi="楷体" w:eastAsia="楷体" w:cs="楷体"/>
                <w:sz w:val="28"/>
                <w:szCs w:val="28"/>
              </w:rPr>
            </w:pPr>
            <w:r>
              <w:rPr>
                <w:rFonts w:hint="eastAsia" w:ascii="楷体" w:hAnsi="楷体" w:eastAsia="楷体" w:cs="楷体"/>
                <w:b/>
                <w:bCs/>
                <w:sz w:val="28"/>
                <w:szCs w:val="28"/>
              </w:rPr>
              <w:t>完善考核考评机制</w:t>
            </w:r>
          </w:p>
        </w:tc>
      </w:tr>
      <w:tr w14:paraId="2FE15B7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3C2679D">
            <w:pPr>
              <w:widowControl/>
              <w:spacing w:line="44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BFC0E8A">
            <w:pPr>
              <w:spacing w:line="440" w:lineRule="exact"/>
              <w:ind w:firstLine="556" w:firstLineChars="200"/>
              <w:rPr>
                <w:rFonts w:ascii="楷体_GB2312" w:hAnsi="仿宋" w:eastAsia="楷体_GB2312"/>
                <w:sz w:val="28"/>
                <w:szCs w:val="28"/>
              </w:rPr>
            </w:pPr>
            <w:r>
              <w:rPr>
                <w:rFonts w:hint="eastAsia" w:ascii="楷体_GB2312" w:hAnsi="仿宋" w:eastAsia="楷体_GB2312"/>
                <w:sz w:val="28"/>
                <w:szCs w:val="28"/>
              </w:rPr>
              <w:t>完善保障农民工工资支付工作考核机制，牵头开展对各县级政府保障农民工工资支付工作考核，考核结果抄送市委组织部，作为党政领导班子的考核依据；开展对各县（市）区人社部门“非公有制经济组织构建和谐劳动关系情况”“打击非法用工和根治欠薪”综治考评和市直部门“拖欠农民工工资问题整治”综治重点项目考评；开展对各县（市）区和市直责任部门绩效典型问题抄送考核。</w:t>
            </w:r>
          </w:p>
        </w:tc>
      </w:tr>
    </w:tbl>
    <w:p w14:paraId="1A9BBD01">
      <w:pPr>
        <w:keepNext/>
        <w:keepLines/>
        <w:spacing w:line="520" w:lineRule="exact"/>
        <w:jc w:val="center"/>
        <w:outlineLvl w:val="0"/>
        <w:rPr>
          <w:rFonts w:ascii="黑体" w:hAnsi="黑体" w:eastAsia="黑体"/>
          <w:kern w:val="44"/>
          <w:szCs w:val="32"/>
        </w:rPr>
      </w:pPr>
    </w:p>
    <w:p w14:paraId="643768BD">
      <w:pPr>
        <w:keepNext/>
        <w:keepLines/>
        <w:spacing w:line="520" w:lineRule="exact"/>
        <w:jc w:val="center"/>
        <w:outlineLvl w:val="0"/>
        <w:rPr>
          <w:rFonts w:ascii="黑体" w:hAnsi="黑体" w:eastAsia="黑体"/>
          <w:kern w:val="44"/>
          <w:szCs w:val="32"/>
        </w:rPr>
      </w:pPr>
      <w:r>
        <w:rPr>
          <w:rFonts w:ascii="黑体" w:hAnsi="黑体" w:eastAsia="黑体"/>
          <w:kern w:val="44"/>
          <w:szCs w:val="32"/>
        </w:rPr>
        <w:t>第</w:t>
      </w:r>
      <w:r>
        <w:rPr>
          <w:rFonts w:hint="eastAsia" w:ascii="黑体" w:hAnsi="黑体" w:eastAsia="黑体"/>
          <w:kern w:val="44"/>
          <w:szCs w:val="32"/>
        </w:rPr>
        <w:t>九</w:t>
      </w:r>
      <w:r>
        <w:rPr>
          <w:rFonts w:ascii="黑体" w:hAnsi="黑体" w:eastAsia="黑体"/>
          <w:kern w:val="44"/>
          <w:szCs w:val="32"/>
        </w:rPr>
        <w:t>章</w:t>
      </w:r>
      <w:r>
        <w:rPr>
          <w:rFonts w:hint="eastAsia" w:ascii="黑体" w:hAnsi="黑体" w:eastAsia="黑体"/>
          <w:kern w:val="44"/>
          <w:szCs w:val="32"/>
        </w:rPr>
        <w:t xml:space="preserve"> 提高基本公共服务能力和质量</w:t>
      </w:r>
    </w:p>
    <w:p w14:paraId="7A00BFC9">
      <w:pPr>
        <w:spacing w:line="520" w:lineRule="exact"/>
        <w:ind w:firstLine="596" w:firstLineChars="200"/>
        <w:rPr>
          <w:sz w:val="30"/>
          <w:szCs w:val="30"/>
        </w:rPr>
      </w:pPr>
    </w:p>
    <w:p w14:paraId="52706960">
      <w:pPr>
        <w:spacing w:line="600" w:lineRule="exact"/>
        <w:ind w:firstLine="636" w:firstLineChars="200"/>
        <w:rPr>
          <w:szCs w:val="32"/>
        </w:rPr>
      </w:pPr>
      <w:r>
        <w:rPr>
          <w:szCs w:val="32"/>
        </w:rPr>
        <w:t>坚持普惠性、保基本、均等化、可持续方向，</w:t>
      </w:r>
      <w:r>
        <w:rPr>
          <w:rFonts w:hint="eastAsia"/>
          <w:szCs w:val="32"/>
        </w:rPr>
        <w:t>深化行政审批制度和“放管服”改革，持续推进人社领域行风建设，推进人社领域标准化、信息化和一体化工作，加强公共服务队伍建设，不断提升人社公共服务能力和水平。</w:t>
      </w:r>
    </w:p>
    <w:p w14:paraId="01EF3210">
      <w:pPr>
        <w:spacing w:line="520" w:lineRule="exact"/>
        <w:jc w:val="center"/>
        <w:rPr>
          <w:rFonts w:ascii="仿宋" w:hAnsi="仿宋" w:eastAsia="仿宋"/>
          <w:b/>
          <w:sz w:val="30"/>
          <w:szCs w:val="30"/>
        </w:rPr>
      </w:pPr>
    </w:p>
    <w:p w14:paraId="48F6FBED">
      <w:pPr>
        <w:keepNext/>
        <w:keepLines/>
        <w:spacing w:line="520" w:lineRule="exact"/>
        <w:jc w:val="center"/>
        <w:outlineLvl w:val="0"/>
        <w:rPr>
          <w:rFonts w:ascii="黑体" w:hAnsi="黑体" w:eastAsia="黑体"/>
          <w:kern w:val="44"/>
          <w:sz w:val="32"/>
          <w:szCs w:val="32"/>
        </w:rPr>
      </w:pPr>
      <w:r>
        <w:rPr>
          <w:rFonts w:hint="eastAsia" w:ascii="黑体" w:hAnsi="黑体" w:eastAsia="黑体"/>
          <w:kern w:val="44"/>
          <w:sz w:val="32"/>
          <w:szCs w:val="32"/>
        </w:rPr>
        <w:t xml:space="preserve">第一节 </w:t>
      </w:r>
      <w:r>
        <w:rPr>
          <w:rFonts w:ascii="黑体" w:hAnsi="黑体" w:eastAsia="黑体"/>
          <w:kern w:val="44"/>
          <w:sz w:val="32"/>
          <w:szCs w:val="32"/>
        </w:rPr>
        <w:t>推进基本公共服务均等化</w:t>
      </w:r>
    </w:p>
    <w:p w14:paraId="15B07BDB">
      <w:pPr>
        <w:spacing w:line="520" w:lineRule="exact"/>
        <w:ind w:left="1215"/>
        <w:rPr>
          <w:rFonts w:ascii="仿宋" w:hAnsi="仿宋" w:eastAsia="仿宋"/>
          <w:b/>
          <w:sz w:val="30"/>
          <w:szCs w:val="30"/>
        </w:rPr>
      </w:pPr>
    </w:p>
    <w:p w14:paraId="46629812">
      <w:pPr>
        <w:spacing w:line="600" w:lineRule="exact"/>
        <w:ind w:firstLine="636" w:firstLineChars="200"/>
        <w:rPr>
          <w:szCs w:val="32"/>
        </w:rPr>
      </w:pPr>
      <w:r>
        <w:rPr>
          <w:szCs w:val="32"/>
        </w:rPr>
        <w:t>推动城乡区域基本公共服务制度统一、质量水平有效衔接。建立健全覆盖城乡劳动者的就业创业公共服务体系和覆盖城乡全体居民的社会保障体系。</w:t>
      </w:r>
      <w:r>
        <w:rPr>
          <w:rFonts w:hint="eastAsia"/>
          <w:szCs w:val="32"/>
        </w:rPr>
        <w:t>构建辐射全市的公共就业服务体系，完善公共就业服务机构设置，完善街道（乡镇）、社区（村）服务平台，构建覆盖城乡的公共就业服务网络，推动全方位公共就业服务。支持经营性人力资源服务机构提供专业化公共就业创业服务，</w:t>
      </w:r>
      <w:r>
        <w:rPr>
          <w:szCs w:val="32"/>
        </w:rPr>
        <w:t>创新公共就业创业服务供给模式</w:t>
      </w:r>
      <w:r>
        <w:rPr>
          <w:rFonts w:hint="eastAsia"/>
          <w:szCs w:val="32"/>
        </w:rPr>
        <w:t>。</w:t>
      </w:r>
      <w:r>
        <w:rPr>
          <w:szCs w:val="32"/>
        </w:rPr>
        <w:t>建立更加高效便捷的社会保险经办服务体系，整合经办服务资源，合理配备经办管理服务人员。健全社会保险社会化管理服务体系，将符合条件的退休人员全部纳入社区管理。健全人才公共服务体系和服务平台，加强高层次、高技能人才服务平台建设，加快完善高效便捷的海外人才来</w:t>
      </w:r>
      <w:r>
        <w:rPr>
          <w:rFonts w:hint="eastAsia"/>
          <w:szCs w:val="32"/>
        </w:rPr>
        <w:t>榕</w:t>
      </w:r>
      <w:r>
        <w:rPr>
          <w:szCs w:val="32"/>
        </w:rPr>
        <w:t>工作、出入境、居留管理服务，实施引进高层次高技能人才服务绿卡制度。</w:t>
      </w:r>
    </w:p>
    <w:p w14:paraId="636262F0">
      <w:pPr>
        <w:pStyle w:val="2"/>
        <w:spacing w:after="0" w:line="520" w:lineRule="exact"/>
      </w:pPr>
    </w:p>
    <w:p w14:paraId="343A107D">
      <w:pPr>
        <w:keepNext/>
        <w:keepLines/>
        <w:spacing w:line="520" w:lineRule="exact"/>
        <w:jc w:val="center"/>
        <w:outlineLvl w:val="0"/>
        <w:rPr>
          <w:rFonts w:ascii="黑体" w:hAnsi="黑体" w:eastAsia="黑体"/>
          <w:kern w:val="44"/>
          <w:sz w:val="32"/>
          <w:szCs w:val="32"/>
        </w:rPr>
      </w:pPr>
      <w:r>
        <w:rPr>
          <w:rFonts w:ascii="黑体" w:hAnsi="黑体" w:eastAsia="黑体"/>
          <w:kern w:val="44"/>
          <w:sz w:val="32"/>
          <w:szCs w:val="32"/>
        </w:rPr>
        <w:t>第二节 推进</w:t>
      </w:r>
      <w:r>
        <w:rPr>
          <w:rFonts w:hint="eastAsia" w:ascii="黑体" w:hAnsi="黑体" w:eastAsia="黑体"/>
          <w:kern w:val="44"/>
          <w:sz w:val="32"/>
          <w:szCs w:val="32"/>
        </w:rPr>
        <w:t>基本</w:t>
      </w:r>
      <w:r>
        <w:rPr>
          <w:rFonts w:ascii="黑体" w:hAnsi="黑体" w:eastAsia="黑体"/>
          <w:kern w:val="44"/>
          <w:sz w:val="32"/>
          <w:szCs w:val="32"/>
        </w:rPr>
        <w:t>公共服务标准化</w:t>
      </w:r>
    </w:p>
    <w:p w14:paraId="025775A6">
      <w:pPr>
        <w:spacing w:line="520" w:lineRule="exact"/>
        <w:jc w:val="center"/>
        <w:rPr>
          <w:rFonts w:ascii="仿宋" w:hAnsi="仿宋" w:eastAsia="仿宋"/>
          <w:b/>
          <w:sz w:val="30"/>
          <w:szCs w:val="30"/>
        </w:rPr>
      </w:pPr>
    </w:p>
    <w:p w14:paraId="01A422B3">
      <w:pPr>
        <w:spacing w:line="600" w:lineRule="exact"/>
        <w:ind w:firstLine="636" w:firstLineChars="200"/>
        <w:rPr>
          <w:szCs w:val="32"/>
        </w:rPr>
      </w:pPr>
      <w:r>
        <w:rPr>
          <w:rFonts w:hint="eastAsia"/>
          <w:szCs w:val="32"/>
        </w:rPr>
        <w:t>全面实施人社基本公共服务标准化管理，以标准化促进基本公共服务均等化、普惠化、便捷化。</w:t>
      </w:r>
      <w:r>
        <w:rPr>
          <w:szCs w:val="32"/>
        </w:rPr>
        <w:t>编制全</w:t>
      </w:r>
      <w:r>
        <w:rPr>
          <w:rFonts w:hint="eastAsia"/>
          <w:szCs w:val="32"/>
        </w:rPr>
        <w:t>市</w:t>
      </w:r>
      <w:r>
        <w:rPr>
          <w:szCs w:val="32"/>
        </w:rPr>
        <w:t>人力资源和社会保障公共服务清单，全面公开服务事项，简化办事环节和手续。</w:t>
      </w:r>
      <w:r>
        <w:rPr>
          <w:rFonts w:hint="eastAsia"/>
          <w:szCs w:val="32"/>
        </w:rPr>
        <w:t>建立健全与人社改革发展相适应，融人社公共服务业务与信息化建设于一体的标准化体系，优化从咨询、受理、审核、经办、反馈到跟踪服务的工作运行流程，加大服务标准宣贯。</w:t>
      </w:r>
      <w:r>
        <w:rPr>
          <w:szCs w:val="32"/>
        </w:rPr>
        <w:t>以</w:t>
      </w:r>
      <w:r>
        <w:rPr>
          <w:rFonts w:hint="eastAsia"/>
          <w:szCs w:val="32"/>
        </w:rPr>
        <w:t>公共就业创业服务、社会保险、</w:t>
      </w:r>
      <w:r>
        <w:rPr>
          <w:szCs w:val="32"/>
        </w:rPr>
        <w:t>人力资源服务</w:t>
      </w:r>
      <w:r>
        <w:rPr>
          <w:rFonts w:hint="eastAsia"/>
          <w:szCs w:val="32"/>
        </w:rPr>
        <w:t>、劳动关系公共服务</w:t>
      </w:r>
      <w:r>
        <w:rPr>
          <w:szCs w:val="32"/>
        </w:rPr>
        <w:t>等为重点，研制一批地方标准，规范公共服务范围、服务内容、服务流程，科学确定各项服务所需的设施设备、人员配备、经费保障等标准，加快推进名称统一、标识统一、机构统一、柜台统一的窗口服务品牌建设。</w:t>
      </w:r>
    </w:p>
    <w:p w14:paraId="12F91B25">
      <w:pPr>
        <w:spacing w:line="520" w:lineRule="exact"/>
        <w:ind w:firstLine="636" w:firstLineChars="200"/>
        <w:rPr>
          <w:sz w:val="32"/>
          <w:szCs w:val="32"/>
        </w:rPr>
      </w:pPr>
    </w:p>
    <w:p w14:paraId="07F8B07A">
      <w:pPr>
        <w:keepNext/>
        <w:keepLines/>
        <w:spacing w:line="520" w:lineRule="exact"/>
        <w:jc w:val="center"/>
        <w:outlineLvl w:val="0"/>
        <w:rPr>
          <w:rFonts w:ascii="黑体" w:hAnsi="黑体" w:eastAsia="黑体"/>
          <w:kern w:val="44"/>
          <w:sz w:val="32"/>
          <w:szCs w:val="32"/>
        </w:rPr>
      </w:pPr>
      <w:r>
        <w:rPr>
          <w:rFonts w:ascii="黑体" w:hAnsi="黑体" w:eastAsia="黑体"/>
          <w:kern w:val="44"/>
          <w:sz w:val="32"/>
          <w:szCs w:val="32"/>
        </w:rPr>
        <w:t>第三节 推进</w:t>
      </w:r>
      <w:r>
        <w:rPr>
          <w:rFonts w:hint="eastAsia" w:ascii="黑体" w:hAnsi="黑体" w:eastAsia="黑体"/>
          <w:kern w:val="44"/>
          <w:sz w:val="32"/>
          <w:szCs w:val="32"/>
        </w:rPr>
        <w:t>基本</w:t>
      </w:r>
      <w:r>
        <w:rPr>
          <w:rFonts w:ascii="黑体" w:hAnsi="黑体" w:eastAsia="黑体"/>
          <w:kern w:val="44"/>
          <w:sz w:val="32"/>
          <w:szCs w:val="32"/>
        </w:rPr>
        <w:t>公共服务信息化</w:t>
      </w:r>
    </w:p>
    <w:p w14:paraId="71FC0035">
      <w:pPr>
        <w:spacing w:line="520" w:lineRule="exact"/>
        <w:ind w:firstLine="596" w:firstLineChars="200"/>
        <w:rPr>
          <w:sz w:val="30"/>
          <w:szCs w:val="30"/>
        </w:rPr>
      </w:pPr>
    </w:p>
    <w:p w14:paraId="23C058E9">
      <w:pPr>
        <w:spacing w:line="600" w:lineRule="exact"/>
        <w:ind w:firstLine="636" w:firstLineChars="200"/>
        <w:rPr>
          <w:szCs w:val="32"/>
        </w:rPr>
      </w:pPr>
      <w:r>
        <w:rPr>
          <w:rFonts w:hint="eastAsia"/>
          <w:szCs w:val="32"/>
        </w:rPr>
        <w:t>突出“服务群众、整合共享、信息安全”要求，继续推进“互联网+人社”建设，积极加快与省业务综合受理信息平台、省人社公共服务平台等的对接融合，</w:t>
      </w:r>
      <w:r>
        <w:rPr>
          <w:rFonts w:hint="eastAsia" w:hAnsi="仿宋"/>
          <w:szCs w:val="32"/>
        </w:rPr>
        <w:t>完善网上办事大厅，将公共服务从“有形窗口”向“无形窗口”拓展，实现网上办理、自助办理和移动平台办理相结合的</w:t>
      </w:r>
      <w:r>
        <w:rPr>
          <w:rFonts w:hAnsi="仿宋"/>
          <w:szCs w:val="32"/>
        </w:rPr>
        <w:t>服务模式</w:t>
      </w:r>
      <w:r>
        <w:rPr>
          <w:rFonts w:hint="eastAsia" w:hAnsi="仿宋"/>
          <w:szCs w:val="32"/>
        </w:rPr>
        <w:t>。</w:t>
      </w:r>
    </w:p>
    <w:p w14:paraId="50D8A88D">
      <w:pPr>
        <w:spacing w:line="600" w:lineRule="exact"/>
        <w:ind w:firstLine="636" w:firstLineChars="200"/>
        <w:rPr>
          <w:szCs w:val="32"/>
        </w:rPr>
      </w:pPr>
      <w:r>
        <w:rPr>
          <w:rFonts w:hint="eastAsia"/>
          <w:szCs w:val="32"/>
        </w:rPr>
        <w:t>依托“福州人社求职招聘平台”，积极搭建高校毕业生招聘平台，强化就业创业公共服务，推行网络招聘、远程视频面试等服务，为高校毕业生和用人单位提供线上线下的精准对接服务。充分发挥人力资源要素的市场配置作用，利用现有的福州市人力资源市场网、福州人社求职招聘平台、“摇工作”APP</w:t>
      </w:r>
      <w:r>
        <w:rPr>
          <w:szCs w:val="32"/>
        </w:rPr>
        <w:t>等福州市公共就业服务信息平台，为用人单位招聘用工和劳动者求职就业提供线上服务渠道。</w:t>
      </w:r>
    </w:p>
    <w:p w14:paraId="03D65213">
      <w:pPr>
        <w:spacing w:line="600" w:lineRule="exact"/>
        <w:ind w:firstLine="636" w:firstLineChars="200"/>
        <w:rPr>
          <w:szCs w:val="32"/>
        </w:rPr>
      </w:pPr>
      <w:r>
        <w:rPr>
          <w:szCs w:val="32"/>
        </w:rPr>
        <w:t>以中国海峡人力资源服务产业园为依托，打造一站式、全流程、专业化的“智慧”创新人力资源服务平台，为各类人才提供招聘服务、劳务派遣、技能培训、咨询服务和业务代理等。</w:t>
      </w:r>
      <w:r>
        <w:rPr>
          <w:rFonts w:hint="eastAsia"/>
          <w:szCs w:val="32"/>
        </w:rPr>
        <w:t>推进流动人员人事档案信息化建设，实现跨地区、跨部门交换共享和动态管理。</w:t>
      </w:r>
    </w:p>
    <w:p w14:paraId="06DEEAC3">
      <w:pPr>
        <w:spacing w:line="600" w:lineRule="exact"/>
        <w:ind w:firstLine="636" w:firstLineChars="200"/>
        <w:rPr>
          <w:szCs w:val="32"/>
        </w:rPr>
      </w:pPr>
      <w:r>
        <w:rPr>
          <w:rFonts w:hint="eastAsia"/>
          <w:szCs w:val="32"/>
        </w:rPr>
        <w:t>依托全国统一的社会保险公共服务平台、福建省社会保险公共服务平台，向参保单位和个人提供统一便捷的服务。</w:t>
      </w:r>
      <w:r>
        <w:rPr>
          <w:szCs w:val="32"/>
        </w:rPr>
        <w:t>深化社会保障“一卡通”建设，加快第三代社保卡、电子社保卡发行应用。推进人社大数据开发应用，</w:t>
      </w:r>
      <w:r>
        <w:rPr>
          <w:rFonts w:hint="eastAsia"/>
          <w:szCs w:val="32"/>
        </w:rPr>
        <w:t>在原有公共服务应用支撑平台上开发自助证明系统，加载智能客服问答，进一步提升公共服务信息化能力。</w:t>
      </w:r>
    </w:p>
    <w:p w14:paraId="57A09968">
      <w:pPr>
        <w:spacing w:line="600" w:lineRule="exact"/>
        <w:ind w:firstLine="636" w:firstLineChars="200"/>
        <w:rPr>
          <w:szCs w:val="32"/>
        </w:rPr>
      </w:pPr>
      <w:r>
        <w:rPr>
          <w:szCs w:val="32"/>
        </w:rPr>
        <w:t>建立纵深防护和协作运营的网络安全保障体系，</w:t>
      </w:r>
      <w:r>
        <w:rPr>
          <w:rFonts w:hint="eastAsia"/>
          <w:szCs w:val="32"/>
        </w:rPr>
        <w:t>提升人社信息系统网络和信息安全的防护能力。通过信息化手段，提升人社业务经办风险的防控能力，保障资金安全。</w:t>
      </w:r>
    </w:p>
    <w:p w14:paraId="46A7FB94">
      <w:pPr>
        <w:adjustRightInd w:val="0"/>
        <w:snapToGrid w:val="0"/>
        <w:spacing w:line="520" w:lineRule="exact"/>
        <w:rPr>
          <w:rFonts w:ascii="楷体_GB2312" w:eastAsia="楷体_GB2312"/>
          <w:b/>
          <w:szCs w:val="32"/>
        </w:rPr>
      </w:pPr>
    </w:p>
    <w:p w14:paraId="74A5A45E">
      <w:pPr>
        <w:keepNext/>
        <w:keepLines/>
        <w:spacing w:line="520" w:lineRule="exact"/>
        <w:jc w:val="center"/>
        <w:outlineLvl w:val="0"/>
        <w:rPr>
          <w:rFonts w:ascii="黑体" w:hAnsi="黑体" w:eastAsia="黑体"/>
          <w:kern w:val="44"/>
          <w:sz w:val="32"/>
          <w:szCs w:val="32"/>
        </w:rPr>
      </w:pPr>
      <w:r>
        <w:rPr>
          <w:rFonts w:ascii="黑体" w:hAnsi="黑体" w:eastAsia="黑体"/>
          <w:kern w:val="44"/>
          <w:sz w:val="32"/>
          <w:szCs w:val="32"/>
        </w:rPr>
        <w:t>第四节 推进</w:t>
      </w:r>
      <w:r>
        <w:rPr>
          <w:rFonts w:hint="eastAsia" w:ascii="黑体" w:hAnsi="黑体" w:eastAsia="黑体"/>
          <w:kern w:val="44"/>
          <w:sz w:val="32"/>
          <w:szCs w:val="32"/>
        </w:rPr>
        <w:t>基本</w:t>
      </w:r>
      <w:r>
        <w:rPr>
          <w:rFonts w:ascii="黑体" w:hAnsi="黑体" w:eastAsia="黑体"/>
          <w:kern w:val="44"/>
          <w:sz w:val="32"/>
          <w:szCs w:val="32"/>
        </w:rPr>
        <w:t>公共服务一体化</w:t>
      </w:r>
    </w:p>
    <w:p w14:paraId="522E8B45">
      <w:pPr>
        <w:spacing w:line="520" w:lineRule="exact"/>
        <w:ind w:firstLine="596" w:firstLineChars="200"/>
        <w:rPr>
          <w:sz w:val="30"/>
          <w:szCs w:val="30"/>
        </w:rPr>
      </w:pPr>
    </w:p>
    <w:p w14:paraId="5E896A20">
      <w:pPr>
        <w:spacing w:line="600" w:lineRule="exact"/>
        <w:ind w:firstLine="636" w:firstLineChars="200"/>
        <w:rPr>
          <w:szCs w:val="32"/>
        </w:rPr>
      </w:pPr>
      <w:r>
        <w:rPr>
          <w:szCs w:val="32"/>
        </w:rPr>
        <w:t>按照</w:t>
      </w:r>
      <w:r>
        <w:rPr>
          <w:rFonts w:hint="eastAsia"/>
          <w:szCs w:val="32"/>
          <w:lang w:eastAsia="zh-CN"/>
        </w:rPr>
        <w:t>“</w:t>
      </w:r>
      <w:r>
        <w:rPr>
          <w:szCs w:val="32"/>
        </w:rPr>
        <w:t>入口统一、业务协同、柜员经办、线上线下结合</w:t>
      </w:r>
      <w:r>
        <w:rPr>
          <w:rFonts w:hint="eastAsia"/>
          <w:szCs w:val="32"/>
          <w:lang w:eastAsia="zh-CN"/>
        </w:rPr>
        <w:t>”</w:t>
      </w:r>
      <w:r>
        <w:rPr>
          <w:szCs w:val="32"/>
        </w:rPr>
        <w:t>的原则，构建人力资源和社会保障系统内部决策、执行、监督的一体化管理和统筹协调机制，以及人力资源社会保障部门与税务、</w:t>
      </w:r>
      <w:r>
        <w:rPr>
          <w:rFonts w:hint="eastAsia"/>
          <w:szCs w:val="32"/>
          <w:lang w:eastAsia="zh-CN"/>
        </w:rPr>
        <w:t>市场监管</w:t>
      </w:r>
      <w:r>
        <w:rPr>
          <w:szCs w:val="32"/>
        </w:rPr>
        <w:t>、公安、民政等部门间的协调配合机制，逐步实现政策制度一体化、业务流程一体化、数据库和信息共享平台一体化、线上线下服务一体化、部门协同一体化，全面提高人力资源社会保障部门的公共服务能力和水平。坚持试点先行、典型引路，在全</w:t>
      </w:r>
      <w:r>
        <w:rPr>
          <w:rFonts w:hint="eastAsia"/>
          <w:szCs w:val="32"/>
        </w:rPr>
        <w:t>市</w:t>
      </w:r>
      <w:r>
        <w:rPr>
          <w:szCs w:val="32"/>
        </w:rPr>
        <w:t>范围内稳步推进公共服务一体化建设实施工作。</w:t>
      </w:r>
    </w:p>
    <w:p w14:paraId="718F9BAD">
      <w:pPr>
        <w:adjustRightInd w:val="0"/>
        <w:snapToGrid w:val="0"/>
        <w:spacing w:line="520" w:lineRule="exact"/>
        <w:ind w:firstLine="636" w:firstLineChars="200"/>
        <w:rPr>
          <w:rFonts w:ascii="楷体_GB2312" w:eastAsia="楷体_GB2312"/>
          <w:b/>
          <w:szCs w:val="32"/>
        </w:rPr>
      </w:pPr>
    </w:p>
    <w:p w14:paraId="6DA3774A">
      <w:pPr>
        <w:keepNext/>
        <w:keepLines/>
        <w:spacing w:line="520" w:lineRule="exact"/>
        <w:jc w:val="center"/>
        <w:outlineLvl w:val="0"/>
        <w:rPr>
          <w:rFonts w:ascii="黑体" w:hAnsi="黑体" w:eastAsia="黑体"/>
          <w:kern w:val="44"/>
          <w:sz w:val="32"/>
          <w:szCs w:val="32"/>
        </w:rPr>
      </w:pPr>
      <w:r>
        <w:rPr>
          <w:rFonts w:hint="eastAsia" w:ascii="黑体" w:hAnsi="黑体" w:eastAsia="黑体"/>
          <w:kern w:val="44"/>
          <w:sz w:val="32"/>
          <w:szCs w:val="32"/>
        </w:rPr>
        <w:t>第五节 推进人社公共服务队伍建设</w:t>
      </w:r>
    </w:p>
    <w:p w14:paraId="556073CE">
      <w:pPr>
        <w:spacing w:line="520" w:lineRule="exact"/>
        <w:jc w:val="center"/>
        <w:rPr>
          <w:rFonts w:ascii="仿宋" w:hAnsi="仿宋" w:eastAsia="仿宋"/>
          <w:b/>
          <w:sz w:val="30"/>
          <w:szCs w:val="30"/>
        </w:rPr>
      </w:pPr>
    </w:p>
    <w:p w14:paraId="4AF67E6E">
      <w:pPr>
        <w:spacing w:line="600" w:lineRule="exact"/>
        <w:ind w:firstLine="636" w:firstLineChars="200"/>
        <w:rPr>
          <w:szCs w:val="32"/>
        </w:rPr>
      </w:pPr>
      <w:r>
        <w:rPr>
          <w:rFonts w:hint="eastAsia"/>
          <w:szCs w:val="32"/>
        </w:rPr>
        <w:t>加强人社公共服务队伍，尤其是窗口单位经办队伍建设。结合我市实际，通过“三支一扶”、设置基层公共管理和社会服务岗、政府购买服务、公益性岗位开发等方式，不断充实经办人员队伍，缓解人员不足问题。建立窗口单位从事行政管理和后台服务的在编人员到窗口一线轮岗制度，定期选派经验丰富的优秀干部到窗口一线锻炼。结合事业单位实施绩效工资制度，推进工资收入与工作任务和绩效挂钩，保障窗口单位经办人员合理工资待遇。将窗口单位作为培养、锻炼、选拔人才的重要阵地，在评比表彰、晋级晋职、绩效工资分配等方面向窗口单位及其经办人员倾斜。加强基层平台工作人员业务培训，分级对窗口单位工作人员开展入职培训、提升培训或业务培训，切实提高基层平台工作人员的专业素质、操作技能和服务能力。充实基层劳动关系协调、劳动争议调解和劳动保障监察人员队伍。常态化开展业务技能练兵比武，培树“人社知识通”“业务一口清”。</w:t>
      </w:r>
    </w:p>
    <w:p w14:paraId="598A255C">
      <w:pPr>
        <w:adjustRightInd w:val="0"/>
        <w:snapToGrid w:val="0"/>
        <w:spacing w:line="520" w:lineRule="exact"/>
        <w:ind w:firstLine="636" w:firstLineChars="200"/>
        <w:rPr>
          <w:rFonts w:ascii="楷体_GB2312" w:eastAsia="楷体_GB2312"/>
          <w:b/>
          <w:szCs w:val="32"/>
        </w:rPr>
      </w:pPr>
    </w:p>
    <w:p w14:paraId="2569AFBF">
      <w:pPr>
        <w:keepNext/>
        <w:keepLines/>
        <w:spacing w:line="520" w:lineRule="exact"/>
        <w:jc w:val="center"/>
        <w:outlineLvl w:val="0"/>
        <w:rPr>
          <w:rFonts w:ascii="黑体" w:hAnsi="黑体" w:eastAsia="黑体"/>
          <w:kern w:val="44"/>
          <w:sz w:val="32"/>
          <w:szCs w:val="32"/>
        </w:rPr>
      </w:pPr>
      <w:r>
        <w:rPr>
          <w:rFonts w:hint="eastAsia" w:ascii="黑体" w:hAnsi="黑体" w:eastAsia="黑体"/>
          <w:kern w:val="44"/>
          <w:sz w:val="32"/>
          <w:szCs w:val="32"/>
        </w:rPr>
        <w:t>第六节 推进人社系统行风建设</w:t>
      </w:r>
    </w:p>
    <w:p w14:paraId="61B32332">
      <w:pPr>
        <w:spacing w:line="520" w:lineRule="exact"/>
        <w:jc w:val="center"/>
        <w:rPr>
          <w:rFonts w:ascii="仿宋" w:hAnsi="仿宋" w:eastAsia="仿宋"/>
          <w:b/>
          <w:sz w:val="30"/>
          <w:szCs w:val="30"/>
        </w:rPr>
      </w:pPr>
    </w:p>
    <w:p w14:paraId="15BA21A6">
      <w:pPr>
        <w:spacing w:line="600" w:lineRule="exact"/>
        <w:ind w:firstLine="636" w:firstLineChars="200"/>
        <w:rPr>
          <w:spacing w:val="-5"/>
          <w:szCs w:val="32"/>
        </w:rPr>
      </w:pPr>
      <w:r>
        <w:rPr>
          <w:rFonts w:hint="eastAsia"/>
          <w:szCs w:val="32"/>
        </w:rPr>
        <w:t>以</w:t>
      </w:r>
      <w:r>
        <w:rPr>
          <w:rFonts w:hint="eastAsia"/>
          <w:spacing w:val="-5"/>
          <w:szCs w:val="32"/>
        </w:rPr>
        <w:t>群众满意为目标，查摆就业创业、社会保险、人才人事、劳动关系、人社扶贫等领域痛点堵点，加大“清减压”力度，为企业松绑、为群众解绊。查摆对外办理事项、办事指南和证明材料压缩调整空间。精简不必要的申请表，整合相似表单，做到全市人社业务表单统一规范、一表受理。动态调整事项清单和办事指南，推动流程相近、材料相同、结果关联的多个事项整合为“一件事”。开展“人社服务快办”行动，进一步简化优化服务流程，持续推进“减证便民”，推广证明事项告知承诺制，及时推介地方服务创新模式，切实压缩社保关系转移接续、工伤认定、社保卡办理、培训补贴申领、失业保险金申领等事项办理时限。加快推进“互联网+政务服务”，整合信息系统，实现数据共享，建成统一的人社公共服务平台，打造一体化人社政务服务体系，推进“一网通办”和社保卡“一卡通办”，</w:t>
      </w:r>
      <w:r>
        <w:t>不断优化老年人等特殊群体服务</w:t>
      </w:r>
      <w:r>
        <w:rPr>
          <w:rFonts w:hint="eastAsia"/>
          <w:spacing w:val="-5"/>
          <w:szCs w:val="32"/>
        </w:rPr>
        <w:t>。充分利用大数据、信用联合惩戒等手段，加强事中事后监管。</w:t>
      </w:r>
    </w:p>
    <w:p w14:paraId="1CB212E6">
      <w:pPr>
        <w:pStyle w:val="2"/>
      </w:pPr>
    </w:p>
    <w:p w14:paraId="0B274964">
      <w:pPr>
        <w:spacing w:line="460" w:lineRule="exact"/>
        <w:jc w:val="center"/>
        <w:rPr>
          <w:rFonts w:hAnsi="仿宋"/>
          <w:sz w:val="30"/>
          <w:szCs w:val="30"/>
        </w:rPr>
      </w:pPr>
      <w:r>
        <w:rPr>
          <w:rFonts w:hint="eastAsia" w:ascii="仿宋" w:hAnsi="仿宋" w:eastAsia="仿宋"/>
          <w:b/>
          <w:sz w:val="30"/>
          <w:szCs w:val="30"/>
        </w:rPr>
        <w:t>专栏9：</w:t>
      </w:r>
      <w:r>
        <w:rPr>
          <w:rFonts w:ascii="仿宋" w:hAnsi="仿宋" w:eastAsia="仿宋"/>
          <w:b/>
          <w:sz w:val="30"/>
          <w:szCs w:val="30"/>
        </w:rPr>
        <w:t>流动人员人事档案基本公共服务体系建设</w:t>
      </w:r>
    </w:p>
    <w:tbl>
      <w:tblPr>
        <w:tblStyle w:val="16"/>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3"/>
      </w:tblGrid>
      <w:tr w14:paraId="0220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3" w:type="dxa"/>
          </w:tcPr>
          <w:p w14:paraId="2618C100">
            <w:pPr>
              <w:spacing w:line="400" w:lineRule="exact"/>
              <w:ind w:firstLine="556" w:firstLineChars="200"/>
              <w:rPr>
                <w:rFonts w:ascii="楷体_GB2312" w:hAnsi="仿宋" w:eastAsia="楷体_GB2312"/>
                <w:sz w:val="28"/>
                <w:szCs w:val="28"/>
              </w:rPr>
            </w:pPr>
            <w:r>
              <w:rPr>
                <w:rFonts w:ascii="楷体_GB2312" w:hAnsi="仿宋" w:eastAsia="楷体_GB2312"/>
                <w:sz w:val="28"/>
                <w:szCs w:val="28"/>
              </w:rPr>
              <w:t>加大对流动人员人事档案库房、服务场所、信息系统等基础设施和服务平台的投入，推进标准化、数字化、信息化建设，进一步提高流动人员人事档案管理服务能力，基本满足政府人才管理、流动人员应用、企业选人用人的需要，促进流动人员合理流动和有效配置。</w:t>
            </w:r>
          </w:p>
        </w:tc>
      </w:tr>
    </w:tbl>
    <w:p w14:paraId="439E40EE">
      <w:pPr>
        <w:spacing w:line="460" w:lineRule="exact"/>
        <w:ind w:firstLine="596" w:firstLineChars="200"/>
        <w:jc w:val="center"/>
        <w:rPr>
          <w:rFonts w:ascii="仿宋" w:hAnsi="仿宋" w:eastAsia="仿宋"/>
          <w:b/>
          <w:sz w:val="30"/>
          <w:szCs w:val="30"/>
        </w:rPr>
      </w:pPr>
      <w:r>
        <w:rPr>
          <w:rFonts w:hint="eastAsia" w:ascii="仿宋" w:hAnsi="仿宋" w:eastAsia="仿宋"/>
          <w:b/>
          <w:sz w:val="30"/>
          <w:szCs w:val="30"/>
        </w:rPr>
        <w:t>专栏</w:t>
      </w:r>
      <w:r>
        <w:rPr>
          <w:rFonts w:ascii="仿宋" w:hAnsi="仿宋" w:eastAsia="仿宋"/>
          <w:b/>
          <w:sz w:val="30"/>
          <w:szCs w:val="30"/>
        </w:rPr>
        <w:t>1</w:t>
      </w:r>
      <w:r>
        <w:rPr>
          <w:rFonts w:hint="eastAsia" w:ascii="仿宋" w:hAnsi="仿宋" w:eastAsia="仿宋"/>
          <w:b/>
          <w:sz w:val="30"/>
          <w:szCs w:val="30"/>
        </w:rPr>
        <w:t>0：</w:t>
      </w:r>
      <w:r>
        <w:rPr>
          <w:rFonts w:ascii="仿宋" w:hAnsi="仿宋" w:eastAsia="仿宋"/>
          <w:b/>
          <w:sz w:val="30"/>
          <w:szCs w:val="30"/>
        </w:rPr>
        <w:t>人力资源社会保障基层公共服务人才队伍建设</w:t>
      </w:r>
    </w:p>
    <w:tbl>
      <w:tblPr>
        <w:tblStyle w:val="16"/>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3"/>
      </w:tblGrid>
      <w:tr w14:paraId="5953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3" w:type="dxa"/>
          </w:tcPr>
          <w:p w14:paraId="604801F5">
            <w:pPr>
              <w:spacing w:line="400" w:lineRule="exact"/>
              <w:ind w:firstLine="556" w:firstLineChars="200"/>
              <w:rPr>
                <w:rFonts w:ascii="楷体_GB2312" w:hAnsi="仿宋" w:eastAsia="楷体_GB2312"/>
                <w:sz w:val="28"/>
                <w:szCs w:val="28"/>
              </w:rPr>
            </w:pPr>
            <w:r>
              <w:rPr>
                <w:rFonts w:ascii="楷体_GB2312" w:hAnsi="仿宋" w:eastAsia="楷体_GB2312"/>
                <w:sz w:val="28"/>
                <w:szCs w:val="28"/>
              </w:rPr>
              <w:t>以能力提升为主线，重点加强人力资源社会保障基层公共服务人才的专业素养、业务水平、工作能力等方面的培训，完善培训管理体系，健全培训考核评价制度，实现基层经办服务人员的定期轮训和初任培训，进一步提升乡镇（街道）基层公共人社平台服务水平。</w:t>
            </w:r>
          </w:p>
        </w:tc>
      </w:tr>
    </w:tbl>
    <w:p w14:paraId="6043A6CF">
      <w:pPr>
        <w:spacing w:line="460" w:lineRule="exact"/>
        <w:ind w:firstLine="596" w:firstLineChars="200"/>
        <w:jc w:val="center"/>
        <w:rPr>
          <w:rFonts w:ascii="仿宋" w:hAnsi="仿宋" w:eastAsia="仿宋"/>
          <w:b/>
          <w:sz w:val="30"/>
          <w:szCs w:val="30"/>
        </w:rPr>
      </w:pPr>
    </w:p>
    <w:p w14:paraId="7382F886">
      <w:pPr>
        <w:spacing w:line="460" w:lineRule="exact"/>
        <w:ind w:firstLine="596" w:firstLineChars="200"/>
        <w:jc w:val="center"/>
        <w:rPr>
          <w:rFonts w:ascii="仿宋" w:hAnsi="仿宋" w:eastAsia="仿宋"/>
          <w:b/>
          <w:sz w:val="30"/>
          <w:szCs w:val="30"/>
        </w:rPr>
      </w:pPr>
      <w:r>
        <w:rPr>
          <w:rFonts w:hint="eastAsia" w:ascii="仿宋" w:hAnsi="仿宋" w:eastAsia="仿宋"/>
          <w:b/>
          <w:sz w:val="30"/>
          <w:szCs w:val="30"/>
        </w:rPr>
        <w:t>专栏</w:t>
      </w:r>
      <w:r>
        <w:rPr>
          <w:rFonts w:ascii="仿宋" w:hAnsi="仿宋" w:eastAsia="仿宋"/>
          <w:b/>
          <w:sz w:val="30"/>
          <w:szCs w:val="30"/>
        </w:rPr>
        <w:t>1</w:t>
      </w:r>
      <w:r>
        <w:rPr>
          <w:rFonts w:hint="eastAsia" w:ascii="仿宋" w:hAnsi="仿宋" w:eastAsia="仿宋"/>
          <w:b/>
          <w:sz w:val="30"/>
          <w:szCs w:val="30"/>
        </w:rPr>
        <w:t>1：</w:t>
      </w:r>
      <w:r>
        <w:rPr>
          <w:rFonts w:ascii="仿宋" w:hAnsi="仿宋" w:eastAsia="仿宋"/>
          <w:b/>
          <w:sz w:val="30"/>
          <w:szCs w:val="30"/>
        </w:rPr>
        <w:t>人社系统行风建设提升行动</w:t>
      </w:r>
    </w:p>
    <w:tbl>
      <w:tblPr>
        <w:tblStyle w:val="16"/>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3"/>
      </w:tblGrid>
      <w:tr w14:paraId="4DAA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3" w:type="dxa"/>
          </w:tcPr>
          <w:p w14:paraId="389E3C95">
            <w:pPr>
              <w:spacing w:line="400" w:lineRule="exact"/>
              <w:ind w:firstLine="556" w:firstLineChars="200"/>
              <w:rPr>
                <w:rFonts w:ascii="楷体_GB2312" w:hAnsi="仿宋" w:eastAsia="楷体_GB2312"/>
                <w:sz w:val="28"/>
                <w:szCs w:val="28"/>
              </w:rPr>
            </w:pPr>
            <w:r>
              <w:rPr>
                <w:rFonts w:hint="eastAsia" w:ascii="楷体_GB2312" w:hAnsi="仿宋" w:eastAsia="楷体_GB2312"/>
                <w:sz w:val="28"/>
                <w:szCs w:val="28"/>
              </w:rPr>
              <w:t>动态调整人社行政审批和公共服务事项清单和办事指南。不断完善行风建设机制和制度体系。持续开展“清、减、压”，简化优化服务流程，推进“减证便民”，大力压缩办事时限，推广证明事项告知承诺制，深入推进“人社服务快办”行动。打造一体化人社政务服务体系，推进“一网通办”和社保卡“一卡通办”。</w:t>
            </w:r>
          </w:p>
        </w:tc>
      </w:tr>
    </w:tbl>
    <w:p w14:paraId="02D03EE9">
      <w:pPr>
        <w:spacing w:line="420" w:lineRule="exact"/>
        <w:rPr>
          <w:rFonts w:ascii="仿宋" w:hAnsi="仿宋" w:eastAsia="仿宋"/>
          <w:b/>
          <w:sz w:val="30"/>
          <w:szCs w:val="30"/>
        </w:rPr>
      </w:pPr>
    </w:p>
    <w:p w14:paraId="54C62146">
      <w:pPr>
        <w:keepNext/>
        <w:keepLines/>
        <w:spacing w:line="420" w:lineRule="exact"/>
        <w:jc w:val="center"/>
        <w:outlineLvl w:val="0"/>
        <w:rPr>
          <w:rFonts w:ascii="黑体" w:hAnsi="黑体" w:eastAsia="黑体"/>
          <w:kern w:val="44"/>
          <w:szCs w:val="32"/>
        </w:rPr>
      </w:pPr>
    </w:p>
    <w:p w14:paraId="191A2BC5">
      <w:pPr>
        <w:keepNext/>
        <w:keepLines/>
        <w:spacing w:line="420" w:lineRule="exact"/>
        <w:jc w:val="center"/>
        <w:outlineLvl w:val="0"/>
        <w:rPr>
          <w:rFonts w:ascii="黑体" w:hAnsi="黑体" w:eastAsia="黑体"/>
          <w:kern w:val="44"/>
          <w:szCs w:val="32"/>
        </w:rPr>
      </w:pPr>
      <w:r>
        <w:rPr>
          <w:rFonts w:ascii="黑体" w:hAnsi="黑体" w:eastAsia="黑体"/>
          <w:kern w:val="44"/>
          <w:szCs w:val="32"/>
        </w:rPr>
        <w:t>第</w:t>
      </w:r>
      <w:r>
        <w:rPr>
          <w:rFonts w:hint="eastAsia" w:ascii="黑体" w:hAnsi="黑体" w:eastAsia="黑体"/>
          <w:kern w:val="44"/>
          <w:szCs w:val="32"/>
        </w:rPr>
        <w:t>十</w:t>
      </w:r>
      <w:r>
        <w:rPr>
          <w:rFonts w:ascii="黑体" w:hAnsi="黑体" w:eastAsia="黑体"/>
          <w:kern w:val="44"/>
          <w:szCs w:val="32"/>
        </w:rPr>
        <w:t>章 强化保障措施</w:t>
      </w:r>
    </w:p>
    <w:p w14:paraId="2C64D7DE">
      <w:pPr>
        <w:spacing w:line="420" w:lineRule="exact"/>
        <w:jc w:val="center"/>
        <w:rPr>
          <w:rFonts w:ascii="黑体" w:hAnsi="黑体" w:eastAsia="黑体"/>
          <w:sz w:val="30"/>
          <w:szCs w:val="30"/>
        </w:rPr>
      </w:pPr>
    </w:p>
    <w:p w14:paraId="373DEB9D">
      <w:pPr>
        <w:spacing w:line="600" w:lineRule="exact"/>
        <w:ind w:firstLine="636" w:firstLineChars="200"/>
        <w:rPr>
          <w:szCs w:val="32"/>
        </w:rPr>
      </w:pPr>
      <w:r>
        <w:rPr>
          <w:rFonts w:hint="eastAsia"/>
          <w:szCs w:val="32"/>
        </w:rPr>
        <w:t>“十四五”时期，全市人力资源和社会保障事业改革发展任务十分艰巨，必须加强组织领导，加强经费保障，集聚各方力量，采取有力措施，强化责任落实，确保完成目标任务。</w:t>
      </w:r>
    </w:p>
    <w:p w14:paraId="4CD1A39E">
      <w:pPr>
        <w:adjustRightInd w:val="0"/>
        <w:snapToGrid w:val="0"/>
        <w:spacing w:line="420" w:lineRule="exact"/>
        <w:ind w:firstLine="596" w:firstLineChars="200"/>
        <w:rPr>
          <w:rFonts w:ascii="仿宋" w:hAnsi="仿宋" w:eastAsia="仿宋" w:cs="仿宋"/>
          <w:sz w:val="30"/>
          <w:szCs w:val="30"/>
        </w:rPr>
      </w:pPr>
    </w:p>
    <w:p w14:paraId="002F82F3">
      <w:pPr>
        <w:keepNext/>
        <w:keepLines/>
        <w:spacing w:line="420" w:lineRule="exact"/>
        <w:jc w:val="center"/>
        <w:outlineLvl w:val="0"/>
        <w:rPr>
          <w:rFonts w:ascii="黑体" w:hAnsi="黑体" w:eastAsia="黑体"/>
          <w:kern w:val="44"/>
          <w:sz w:val="32"/>
          <w:szCs w:val="32"/>
        </w:rPr>
      </w:pPr>
      <w:r>
        <w:rPr>
          <w:rFonts w:hint="eastAsia" w:ascii="黑体" w:hAnsi="黑体" w:eastAsia="黑体"/>
          <w:kern w:val="44"/>
          <w:sz w:val="32"/>
          <w:szCs w:val="32"/>
        </w:rPr>
        <w:t>第一节 强化规划实施</w:t>
      </w:r>
    </w:p>
    <w:p w14:paraId="2A83A1F3">
      <w:pPr>
        <w:spacing w:line="420" w:lineRule="exact"/>
        <w:jc w:val="center"/>
        <w:rPr>
          <w:rFonts w:ascii="仿宋" w:hAnsi="仿宋" w:eastAsia="仿宋"/>
          <w:b/>
          <w:sz w:val="30"/>
          <w:szCs w:val="30"/>
        </w:rPr>
      </w:pPr>
    </w:p>
    <w:p w14:paraId="2F45199E">
      <w:pPr>
        <w:spacing w:line="600" w:lineRule="exact"/>
        <w:ind w:firstLine="636" w:firstLineChars="200"/>
        <w:rPr>
          <w:szCs w:val="32"/>
        </w:rPr>
      </w:pPr>
      <w:r>
        <w:rPr>
          <w:rFonts w:hint="eastAsia"/>
          <w:szCs w:val="32"/>
        </w:rPr>
        <w:t>成立职能部门规划实施领导小组，将本</w:t>
      </w:r>
      <w:r>
        <w:rPr>
          <w:rFonts w:hint="eastAsia"/>
          <w:szCs w:val="32"/>
          <w:lang w:eastAsia="zh-CN"/>
        </w:rPr>
        <w:t>《</w:t>
      </w:r>
      <w:r>
        <w:rPr>
          <w:rFonts w:hint="eastAsia"/>
          <w:szCs w:val="32"/>
        </w:rPr>
        <w:t>规划</w:t>
      </w:r>
      <w:r>
        <w:rPr>
          <w:rFonts w:hint="eastAsia"/>
          <w:szCs w:val="32"/>
          <w:lang w:eastAsia="zh-CN"/>
        </w:rPr>
        <w:t>》</w:t>
      </w:r>
      <w:r>
        <w:rPr>
          <w:rFonts w:hint="eastAsia"/>
          <w:szCs w:val="32"/>
        </w:rPr>
        <w:t>确定的约束性指标纳入政府目标责任考核体系。加强政策协调、信息共享和资源整合，各级各部门要依据本</w:t>
      </w:r>
      <w:r>
        <w:rPr>
          <w:rFonts w:hint="eastAsia"/>
          <w:szCs w:val="32"/>
          <w:lang w:eastAsia="zh-CN"/>
        </w:rPr>
        <w:t>《</w:t>
      </w:r>
      <w:r>
        <w:rPr>
          <w:rFonts w:hint="eastAsia"/>
          <w:szCs w:val="32"/>
        </w:rPr>
        <w:t>规划</w:t>
      </w:r>
      <w:r>
        <w:rPr>
          <w:rFonts w:hint="eastAsia"/>
          <w:szCs w:val="32"/>
          <w:lang w:eastAsia="zh-CN"/>
        </w:rPr>
        <w:t>》</w:t>
      </w:r>
      <w:r>
        <w:rPr>
          <w:rFonts w:hint="eastAsia"/>
          <w:szCs w:val="32"/>
        </w:rPr>
        <w:t>，结合实际制定规划目标任务分解落实方案、重大项目实施方案和年度实施计划，明确责任部门和进度要求，确保规划目标任务落实。</w:t>
      </w:r>
    </w:p>
    <w:p w14:paraId="50A66E74">
      <w:pPr>
        <w:pStyle w:val="2"/>
        <w:spacing w:after="0" w:line="420" w:lineRule="exact"/>
      </w:pPr>
    </w:p>
    <w:p w14:paraId="317961AE">
      <w:pPr>
        <w:keepNext/>
        <w:keepLines/>
        <w:spacing w:line="420" w:lineRule="exact"/>
        <w:jc w:val="center"/>
        <w:outlineLvl w:val="0"/>
        <w:rPr>
          <w:rFonts w:ascii="黑体" w:hAnsi="黑体" w:eastAsia="黑体"/>
          <w:kern w:val="44"/>
          <w:sz w:val="32"/>
          <w:szCs w:val="32"/>
        </w:rPr>
      </w:pPr>
      <w:r>
        <w:rPr>
          <w:rFonts w:hint="eastAsia" w:ascii="黑体" w:hAnsi="黑体" w:eastAsia="黑体"/>
          <w:kern w:val="44"/>
          <w:sz w:val="32"/>
          <w:szCs w:val="32"/>
        </w:rPr>
        <w:t>第二节 加强经费保障</w:t>
      </w:r>
    </w:p>
    <w:p w14:paraId="0D80F542">
      <w:pPr>
        <w:spacing w:line="420" w:lineRule="exact"/>
        <w:rPr>
          <w:szCs w:val="32"/>
        </w:rPr>
      </w:pPr>
    </w:p>
    <w:p w14:paraId="343F0C34">
      <w:pPr>
        <w:spacing w:line="600" w:lineRule="exact"/>
        <w:ind w:firstLine="636" w:firstLineChars="200"/>
        <w:rPr>
          <w:szCs w:val="32"/>
        </w:rPr>
      </w:pPr>
      <w:r>
        <w:rPr>
          <w:rFonts w:hint="eastAsia"/>
          <w:szCs w:val="32"/>
        </w:rPr>
        <w:t>健全工作经费保障机制,推动各地构建与事权匹配的人力资源社会保障公共服务经费保障机制,积极争取本级财政和上级转移支付资金对人力资源社会保障重点项目的投入力度,保障重点项目实施,增加政府购买服务在工作中的应用范围。推进预算管理一体化建设,加强专项转移支付资金跟踪管理,实施项目绩效评估,提升资金使用效率。</w:t>
      </w:r>
    </w:p>
    <w:p w14:paraId="361B2910">
      <w:pPr>
        <w:spacing w:line="420" w:lineRule="exact"/>
        <w:jc w:val="center"/>
        <w:rPr>
          <w:rFonts w:ascii="仿宋" w:hAnsi="仿宋" w:eastAsia="仿宋"/>
          <w:b/>
          <w:sz w:val="30"/>
          <w:szCs w:val="30"/>
        </w:rPr>
      </w:pPr>
    </w:p>
    <w:p w14:paraId="52805563">
      <w:pPr>
        <w:keepNext/>
        <w:keepLines/>
        <w:spacing w:line="420" w:lineRule="exact"/>
        <w:jc w:val="center"/>
        <w:outlineLvl w:val="0"/>
        <w:rPr>
          <w:rFonts w:ascii="黑体" w:hAnsi="黑体" w:eastAsia="黑体"/>
          <w:kern w:val="44"/>
          <w:sz w:val="32"/>
          <w:szCs w:val="32"/>
        </w:rPr>
      </w:pPr>
      <w:r>
        <w:rPr>
          <w:rFonts w:hint="eastAsia" w:ascii="黑体" w:hAnsi="黑体" w:eastAsia="黑体"/>
          <w:kern w:val="44"/>
          <w:sz w:val="32"/>
          <w:szCs w:val="32"/>
        </w:rPr>
        <w:t>第三节 完善监测评估</w:t>
      </w:r>
    </w:p>
    <w:p w14:paraId="4B31F881">
      <w:pPr>
        <w:adjustRightInd w:val="0"/>
        <w:snapToGrid w:val="0"/>
        <w:spacing w:line="420" w:lineRule="exact"/>
        <w:ind w:firstLine="596" w:firstLineChars="200"/>
        <w:rPr>
          <w:rFonts w:ascii="仿宋" w:hAnsi="仿宋" w:eastAsia="仿宋" w:cs="仿宋"/>
          <w:sz w:val="30"/>
          <w:szCs w:val="30"/>
        </w:rPr>
      </w:pPr>
    </w:p>
    <w:p w14:paraId="324C12AE">
      <w:pPr>
        <w:spacing w:line="600" w:lineRule="exact"/>
        <w:ind w:firstLine="636" w:firstLineChars="200"/>
        <w:rPr>
          <w:rFonts w:hint="eastAsia"/>
          <w:szCs w:val="32"/>
        </w:rPr>
      </w:pPr>
      <w:r>
        <w:rPr>
          <w:rFonts w:hint="eastAsia"/>
          <w:szCs w:val="32"/>
        </w:rPr>
        <w:t>建立健全规划实施情况的监测、统计、评估、考核体制。加强年度计划编制工作，科学制定年度计划。建立完善“十四五”统计数据库，大力推进“数字人社”建设，注重运用互联网、大数据技术提高数据信息的及时性、全面性和准确性。定期开展自查，认真做好规划中期评估和总结评估，分析研究规划实施中存在的问题，及时提出对策建议。</w:t>
      </w:r>
    </w:p>
    <w:p w14:paraId="1025A4BB">
      <w:pPr>
        <w:spacing w:line="600" w:lineRule="exact"/>
        <w:ind w:firstLine="636" w:firstLineChars="200"/>
        <w:rPr>
          <w:rFonts w:hint="eastAsia"/>
          <w:szCs w:val="32"/>
        </w:rPr>
      </w:pPr>
    </w:p>
    <w:p w14:paraId="47FDCE8F">
      <w:pPr>
        <w:keepNext/>
        <w:keepLines/>
        <w:spacing w:line="420" w:lineRule="exact"/>
        <w:jc w:val="center"/>
        <w:outlineLvl w:val="0"/>
        <w:rPr>
          <w:rFonts w:ascii="黑体" w:hAnsi="黑体" w:eastAsia="黑体"/>
          <w:kern w:val="44"/>
          <w:sz w:val="32"/>
          <w:szCs w:val="32"/>
        </w:rPr>
      </w:pPr>
      <w:r>
        <w:rPr>
          <w:rFonts w:hint="eastAsia" w:ascii="黑体" w:hAnsi="黑体" w:eastAsia="黑体"/>
          <w:kern w:val="44"/>
          <w:sz w:val="32"/>
          <w:szCs w:val="32"/>
        </w:rPr>
        <w:t>第四节 加强法治保障</w:t>
      </w:r>
    </w:p>
    <w:p w14:paraId="7EFF25F6">
      <w:pPr>
        <w:adjustRightInd w:val="0"/>
        <w:snapToGrid w:val="0"/>
        <w:spacing w:line="420" w:lineRule="exact"/>
        <w:ind w:firstLine="596" w:firstLineChars="200"/>
        <w:rPr>
          <w:rFonts w:ascii="仿宋" w:hAnsi="仿宋" w:eastAsia="仿宋" w:cs="仿宋"/>
          <w:sz w:val="30"/>
          <w:szCs w:val="30"/>
        </w:rPr>
      </w:pPr>
    </w:p>
    <w:p w14:paraId="4C45C010">
      <w:pPr>
        <w:pStyle w:val="8"/>
        <w:spacing w:line="600" w:lineRule="exact"/>
        <w:ind w:firstLine="636" w:firstLineChars="200"/>
        <w:rPr>
          <w:szCs w:val="32"/>
        </w:rPr>
      </w:pPr>
      <w:r>
        <w:rPr>
          <w:rFonts w:hint="eastAsia"/>
          <w:szCs w:val="32"/>
        </w:rPr>
        <w:t>学习贯彻习近平法治思想，落实全面依法治市工作要求，协助组织社会保险、劳动就业、人力资源市场等地方立法工作。深化“放管服”和行政审批制度改革，动态调整权责事项清单。强化行政执法监督，全面落实行政执法“三项制度”。进一步加强规范性文件合法性审查工作，完善行政复议和行政应诉工作制度，</w:t>
      </w:r>
      <w:r>
        <w:rPr>
          <w:szCs w:val="32"/>
        </w:rPr>
        <w:t>自觉接受各方监督。</w:t>
      </w:r>
    </w:p>
    <w:p w14:paraId="69EA6247">
      <w:pPr>
        <w:spacing w:line="420" w:lineRule="exact"/>
        <w:rPr>
          <w:rFonts w:ascii="仿宋" w:hAnsi="仿宋" w:eastAsia="仿宋"/>
          <w:b/>
          <w:sz w:val="30"/>
          <w:szCs w:val="30"/>
        </w:rPr>
      </w:pPr>
    </w:p>
    <w:p w14:paraId="2CC9C87A">
      <w:pPr>
        <w:keepNext/>
        <w:keepLines/>
        <w:spacing w:line="420" w:lineRule="exact"/>
        <w:jc w:val="center"/>
        <w:outlineLvl w:val="0"/>
        <w:rPr>
          <w:rFonts w:ascii="黑体" w:hAnsi="黑体" w:eastAsia="黑体"/>
          <w:kern w:val="44"/>
          <w:sz w:val="32"/>
          <w:szCs w:val="32"/>
        </w:rPr>
      </w:pPr>
      <w:r>
        <w:rPr>
          <w:rFonts w:hint="eastAsia" w:ascii="黑体" w:hAnsi="黑体" w:eastAsia="黑体"/>
          <w:kern w:val="44"/>
          <w:sz w:val="32"/>
          <w:szCs w:val="32"/>
        </w:rPr>
        <w:t>第五节 加强舆论宣传</w:t>
      </w:r>
    </w:p>
    <w:p w14:paraId="61BB9A1A">
      <w:pPr>
        <w:spacing w:line="600" w:lineRule="exact"/>
        <w:ind w:firstLine="596" w:firstLineChars="200"/>
        <w:rPr>
          <w:rFonts w:ascii="仿宋" w:hAnsi="仿宋" w:eastAsia="仿宋" w:cs="仿宋"/>
          <w:sz w:val="30"/>
          <w:szCs w:val="30"/>
        </w:rPr>
      </w:pPr>
    </w:p>
    <w:p w14:paraId="3F8B0C39">
      <w:pPr>
        <w:spacing w:line="600" w:lineRule="exact"/>
        <w:ind w:firstLine="636" w:firstLineChars="200"/>
        <w:rPr>
          <w:szCs w:val="32"/>
        </w:rPr>
      </w:pPr>
      <w:r>
        <w:rPr>
          <w:rFonts w:hint="eastAsia"/>
          <w:szCs w:val="32"/>
        </w:rPr>
        <w:t>坚持正确舆论导向，做好人力资源社会保障政策解读。依托基层就业和社会保障平台、经办业务窗口，以服务群众为契机理顺政策宣传“最后一公里”。及时总结回顾，拓展宣传渠道，创新宣传形式，加大本</w:t>
      </w:r>
      <w:r>
        <w:rPr>
          <w:rFonts w:hint="eastAsia"/>
          <w:szCs w:val="32"/>
          <w:lang w:eastAsia="zh-CN"/>
        </w:rPr>
        <w:t>《</w:t>
      </w:r>
      <w:r>
        <w:rPr>
          <w:rFonts w:hint="eastAsia"/>
          <w:szCs w:val="32"/>
        </w:rPr>
        <w:t>规划</w:t>
      </w:r>
      <w:r>
        <w:rPr>
          <w:rFonts w:hint="eastAsia"/>
          <w:szCs w:val="32"/>
          <w:lang w:eastAsia="zh-CN"/>
        </w:rPr>
        <w:t>》</w:t>
      </w:r>
      <w:r>
        <w:rPr>
          <w:rFonts w:hint="eastAsia"/>
          <w:szCs w:val="32"/>
        </w:rPr>
        <w:t xml:space="preserve">实施中的新经验、新做法、新成效的宣传力度， </w:t>
      </w:r>
    </w:p>
    <w:p w14:paraId="153C81C2">
      <w:pPr>
        <w:spacing w:line="600" w:lineRule="exact"/>
        <w:ind w:firstLine="636" w:firstLineChars="200"/>
        <w:rPr>
          <w:szCs w:val="32"/>
        </w:rPr>
      </w:pPr>
      <w:r>
        <w:rPr>
          <w:szCs w:val="32"/>
        </w:rPr>
        <w:t>加大新闻发布力度，做好政策宣传解读</w:t>
      </w:r>
      <w:r>
        <w:rPr>
          <w:rFonts w:hint="eastAsia"/>
          <w:szCs w:val="32"/>
        </w:rPr>
        <w:t>，</w:t>
      </w:r>
      <w:r>
        <w:rPr>
          <w:szCs w:val="32"/>
        </w:rPr>
        <w:t>建立完善舆情应急预案，及时回应社会关切，</w:t>
      </w:r>
      <w:r>
        <w:rPr>
          <w:rFonts w:hint="eastAsia"/>
          <w:szCs w:val="32"/>
        </w:rPr>
        <w:t>积极营造有利于我市人力资源社会保障事业发展的舆论氛围。</w:t>
      </w:r>
      <w:r>
        <w:rPr>
          <w:szCs w:val="32"/>
        </w:rPr>
        <w:t>积极探索新媒体平台的推广和应用，构建传统媒体和新媒体相结合的全媒体宣传新格局。</w:t>
      </w:r>
    </w:p>
    <w:p w14:paraId="10F3650B">
      <w:pPr>
        <w:keepNext/>
        <w:keepLines/>
        <w:spacing w:line="420" w:lineRule="exact"/>
        <w:jc w:val="left"/>
        <w:outlineLvl w:val="0"/>
        <w:rPr>
          <w:rFonts w:hint="eastAsia" w:ascii="黑体" w:hAnsi="黑体" w:eastAsia="黑体" w:cs="黑体"/>
          <w:kern w:val="44"/>
          <w:szCs w:val="32"/>
        </w:rPr>
      </w:pPr>
      <w:bookmarkStart w:id="0" w:name="_Toc75891157"/>
    </w:p>
    <w:p w14:paraId="5176F990">
      <w:pPr>
        <w:keepNext/>
        <w:keepLines/>
        <w:spacing w:line="420" w:lineRule="exact"/>
        <w:jc w:val="left"/>
        <w:outlineLvl w:val="0"/>
      </w:pPr>
      <w:r>
        <w:rPr>
          <w:rFonts w:hint="eastAsia" w:ascii="黑体" w:hAnsi="黑体" w:eastAsia="黑体" w:cs="黑体"/>
          <w:kern w:val="44"/>
          <w:szCs w:val="32"/>
        </w:rPr>
        <w:t>附录</w:t>
      </w:r>
      <w:bookmarkEnd w:id="0"/>
    </w:p>
    <w:p w14:paraId="776206B1">
      <w:pPr>
        <w:pStyle w:val="2"/>
        <w:spacing w:after="0" w:line="580" w:lineRule="exact"/>
        <w:jc w:val="both"/>
        <w:rPr>
          <w:rFonts w:asciiTheme="majorEastAsia" w:hAnsiTheme="majorEastAsia" w:eastAsiaTheme="majorEastAsia" w:cstheme="majorEastAsia"/>
          <w:b/>
          <w:bCs/>
          <w:sz w:val="44"/>
          <w:szCs w:val="44"/>
        </w:rPr>
      </w:pPr>
    </w:p>
    <w:p w14:paraId="6923BB4A">
      <w:pPr>
        <w:pStyle w:val="2"/>
        <w:spacing w:after="0" w:line="58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福州市“十四五”人力资源和社会保障</w:t>
      </w:r>
    </w:p>
    <w:p w14:paraId="1B3147A1">
      <w:pPr>
        <w:pStyle w:val="2"/>
        <w:spacing w:after="0" w:line="58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发展专项规划重点建设项目清单</w:t>
      </w:r>
    </w:p>
    <w:tbl>
      <w:tblPr>
        <w:tblStyle w:val="16"/>
        <w:tblpPr w:leftFromText="180" w:rightFromText="180" w:vertAnchor="text" w:horzAnchor="page" w:tblpXSpec="center" w:tblpY="547"/>
        <w:tblOverlap w:val="never"/>
        <w:tblW w:w="9846" w:type="dxa"/>
        <w:jc w:val="center"/>
        <w:tblLayout w:type="fixed"/>
        <w:tblCellMar>
          <w:top w:w="0" w:type="dxa"/>
          <w:left w:w="0" w:type="dxa"/>
          <w:bottom w:w="0" w:type="dxa"/>
          <w:right w:w="0" w:type="dxa"/>
        </w:tblCellMar>
      </w:tblPr>
      <w:tblGrid>
        <w:gridCol w:w="1095"/>
        <w:gridCol w:w="3630"/>
        <w:gridCol w:w="1680"/>
        <w:gridCol w:w="855"/>
        <w:gridCol w:w="915"/>
        <w:gridCol w:w="1671"/>
      </w:tblGrid>
      <w:tr w14:paraId="38EA67FE">
        <w:tblPrEx>
          <w:tblCellMar>
            <w:top w:w="0" w:type="dxa"/>
            <w:left w:w="0" w:type="dxa"/>
            <w:bottom w:w="0" w:type="dxa"/>
            <w:right w:w="0" w:type="dxa"/>
          </w:tblCellMar>
        </w:tblPrEx>
        <w:trPr>
          <w:trHeight w:val="70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DBD1C4">
            <w:pPr>
              <w:jc w:val="center"/>
              <w:rPr>
                <w:rFonts w:ascii="楷体" w:hAnsi="楷体" w:eastAsia="楷体" w:cs="楷体"/>
                <w:b/>
                <w:kern w:val="0"/>
                <w:szCs w:val="32"/>
              </w:rPr>
            </w:pPr>
            <w:r>
              <w:rPr>
                <w:rFonts w:hint="eastAsia" w:ascii="楷体" w:hAnsi="楷体" w:eastAsia="楷体" w:cs="楷体"/>
                <w:b/>
                <w:kern w:val="0"/>
                <w:szCs w:val="32"/>
              </w:rPr>
              <w:t>项目</w:t>
            </w:r>
          </w:p>
          <w:p w14:paraId="0D44B3C2">
            <w:pPr>
              <w:jc w:val="center"/>
              <w:rPr>
                <w:rFonts w:ascii="楷体" w:hAnsi="楷体" w:eastAsia="楷体" w:cs="楷体"/>
                <w:b/>
                <w:szCs w:val="32"/>
              </w:rPr>
            </w:pPr>
            <w:r>
              <w:rPr>
                <w:rFonts w:hint="eastAsia" w:ascii="楷体" w:hAnsi="楷体" w:eastAsia="楷体" w:cs="楷体"/>
                <w:b/>
                <w:kern w:val="0"/>
                <w:szCs w:val="32"/>
              </w:rPr>
              <w:t>名称</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10C94">
            <w:pPr>
              <w:widowControl/>
              <w:spacing w:line="400" w:lineRule="exact"/>
              <w:jc w:val="center"/>
              <w:textAlignment w:val="center"/>
              <w:rPr>
                <w:rFonts w:ascii="楷体" w:hAnsi="楷体" w:eastAsia="楷体" w:cs="楷体"/>
                <w:b/>
                <w:szCs w:val="32"/>
              </w:rPr>
            </w:pPr>
            <w:r>
              <w:rPr>
                <w:rFonts w:hint="eastAsia" w:ascii="楷体" w:hAnsi="楷体" w:eastAsia="楷体" w:cs="楷体"/>
                <w:b/>
                <w:kern w:val="0"/>
                <w:szCs w:val="32"/>
              </w:rPr>
              <w:t>建设内容</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55B975">
            <w:pPr>
              <w:widowControl/>
              <w:spacing w:line="400" w:lineRule="exact"/>
              <w:jc w:val="center"/>
              <w:textAlignment w:val="center"/>
              <w:rPr>
                <w:rFonts w:ascii="楷体" w:hAnsi="楷体" w:eastAsia="楷体" w:cs="楷体"/>
                <w:b/>
                <w:szCs w:val="32"/>
              </w:rPr>
            </w:pPr>
            <w:r>
              <w:rPr>
                <w:rFonts w:hint="eastAsia" w:ascii="楷体" w:hAnsi="楷体" w:eastAsia="楷体" w:cs="楷体"/>
                <w:b/>
                <w:kern w:val="0"/>
                <w:szCs w:val="32"/>
              </w:rPr>
              <w:t>责任单位</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63D6D">
            <w:pPr>
              <w:widowControl/>
              <w:spacing w:line="400" w:lineRule="exact"/>
              <w:jc w:val="center"/>
              <w:textAlignment w:val="center"/>
              <w:rPr>
                <w:rFonts w:ascii="楷体" w:hAnsi="楷体" w:eastAsia="楷体" w:cs="楷体"/>
                <w:b/>
                <w:szCs w:val="32"/>
              </w:rPr>
            </w:pPr>
            <w:r>
              <w:rPr>
                <w:rFonts w:hint="eastAsia" w:ascii="楷体" w:hAnsi="楷体" w:eastAsia="楷体" w:cs="楷体"/>
                <w:b/>
                <w:kern w:val="0"/>
                <w:szCs w:val="32"/>
              </w:rPr>
              <w:t>建设时限</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9DE14">
            <w:pPr>
              <w:widowControl/>
              <w:spacing w:line="360" w:lineRule="exact"/>
              <w:jc w:val="center"/>
              <w:textAlignment w:val="center"/>
              <w:rPr>
                <w:rFonts w:ascii="楷体" w:hAnsi="楷体" w:eastAsia="楷体" w:cs="楷体"/>
                <w:b/>
                <w:kern w:val="0"/>
                <w:szCs w:val="32"/>
              </w:rPr>
            </w:pPr>
            <w:r>
              <w:rPr>
                <w:rFonts w:hint="eastAsia" w:ascii="楷体" w:hAnsi="楷体" w:eastAsia="楷体" w:cs="楷体"/>
                <w:b/>
                <w:kern w:val="0"/>
                <w:szCs w:val="32"/>
              </w:rPr>
              <w:t>建设资金预算（万元）</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16DBAE">
            <w:pPr>
              <w:widowControl/>
              <w:spacing w:line="400" w:lineRule="exact"/>
              <w:jc w:val="center"/>
              <w:textAlignment w:val="center"/>
              <w:rPr>
                <w:rFonts w:ascii="楷体" w:hAnsi="楷体" w:eastAsia="楷体" w:cs="楷体"/>
                <w:b/>
                <w:kern w:val="0"/>
                <w:szCs w:val="32"/>
              </w:rPr>
            </w:pPr>
            <w:r>
              <w:rPr>
                <w:rFonts w:hint="eastAsia" w:ascii="楷体" w:hAnsi="楷体" w:eastAsia="楷体" w:cs="楷体"/>
                <w:b/>
                <w:kern w:val="0"/>
                <w:szCs w:val="32"/>
              </w:rPr>
              <w:t>资金来源</w:t>
            </w:r>
          </w:p>
        </w:tc>
      </w:tr>
      <w:tr w14:paraId="52D4B54D">
        <w:tblPrEx>
          <w:tblCellMar>
            <w:top w:w="0" w:type="dxa"/>
            <w:left w:w="0" w:type="dxa"/>
            <w:bottom w:w="0" w:type="dxa"/>
            <w:right w:w="0" w:type="dxa"/>
          </w:tblCellMar>
        </w:tblPrEx>
        <w:trPr>
          <w:trHeight w:val="1855"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16C25">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1.创业孵化基地建设项目</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9C964">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培育扶持一批特色突出、功能完善、承载能力强，具有一定示范和辐射带动作用的孵化基地，为创业者提供良好的创业环境和创业服务。</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EEA0FF">
            <w:pPr>
              <w:widowControl/>
              <w:spacing w:line="40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市人社局</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D0DEBD">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2021-2025年</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5449CC">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150</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C43CC">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就业补助资金</w:t>
            </w:r>
          </w:p>
        </w:tc>
      </w:tr>
      <w:tr w14:paraId="1F6B5134">
        <w:tblPrEx>
          <w:tblCellMar>
            <w:top w:w="0" w:type="dxa"/>
            <w:left w:w="0" w:type="dxa"/>
            <w:bottom w:w="0" w:type="dxa"/>
            <w:right w:w="0" w:type="dxa"/>
          </w:tblCellMar>
        </w:tblPrEx>
        <w:trPr>
          <w:trHeight w:val="2775"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C80E2">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2.工业（产业）园区职业技能提升中心建设项目</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1A8D94">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依托职业技工院校，在工业（产业）园区逐步建设职业技能提升中心，推动职业技能培训资源共建共享。</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34F27">
            <w:pPr>
              <w:widowControl/>
              <w:spacing w:line="40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市人社局、市科技局、市教育局、市工信局、各县（市）区党委政府、各园区党工委和管委会</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D012A">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2021-2025年</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74207">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每个中心建设资金100万元</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042CB">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就业补助资金</w:t>
            </w:r>
          </w:p>
        </w:tc>
      </w:tr>
      <w:tr w14:paraId="2731627A">
        <w:tblPrEx>
          <w:tblCellMar>
            <w:top w:w="0" w:type="dxa"/>
            <w:left w:w="0" w:type="dxa"/>
            <w:bottom w:w="0" w:type="dxa"/>
            <w:right w:w="0" w:type="dxa"/>
          </w:tblCellMar>
        </w:tblPrEx>
        <w:trPr>
          <w:trHeight w:val="975"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E549DA">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3.流动人员人事档案社会化服务项目</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61BA99">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实施全市统一的业务流程、信息归集工作机制；定期开展业务培训，提高业务经办能力；设立专门服务窗口，开通线上查询、语音咨询服务、窗口服务等服务渠道；对流动人员数量、结构、分布、流向等开展统计分析，逐步建立档案基本情况分析制度，为人社工作决策提供依据。</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7F2A7D">
            <w:pPr>
              <w:widowControl/>
              <w:spacing w:line="40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市人社局</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各县（市）区人社局</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961F05">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2022年底</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26A0C">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533</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A603C">
            <w:pPr>
              <w:widowControl/>
              <w:spacing w:line="3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就业补助资金</w:t>
            </w:r>
          </w:p>
        </w:tc>
      </w:tr>
      <w:tr w14:paraId="32B05C5F">
        <w:tblPrEx>
          <w:tblCellMar>
            <w:top w:w="0" w:type="dxa"/>
            <w:left w:w="0" w:type="dxa"/>
            <w:bottom w:w="0" w:type="dxa"/>
            <w:right w:w="0" w:type="dxa"/>
          </w:tblCellMar>
        </w:tblPrEx>
        <w:trPr>
          <w:trHeight w:val="2755"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FCB1D">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4.中国福州留学人员创业园及分园建设项目</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F572E">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不断完善管理、服务体系，营造有利于留学人才“引”“用”“留”良好环境。积极对接落实海外优秀青年来闽学术交流支持计划，吸引更多海外优秀青年来榕开展学术交流，提供创业融资等服务，为后续引进、开展合作创造条件。</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DCB27">
            <w:pPr>
              <w:widowControl/>
              <w:spacing w:line="40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市人社局</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各县（市）区人社局</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1EEB7">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2021-2025年</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3437A">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3700</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90FB4">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fldChar w:fldCharType="begin"/>
            </w:r>
            <w:r>
              <w:rPr>
                <w:rFonts w:hint="eastAsia" w:ascii="仿宋_GB2312" w:hAnsi="仿宋_GB2312" w:eastAsia="仿宋_GB2312" w:cs="仿宋_GB2312"/>
                <w:kern w:val="0"/>
                <w:sz w:val="28"/>
                <w:szCs w:val="28"/>
              </w:rPr>
              <w:instrText xml:space="preserve">= 1. \* Arabic</w:instrText>
            </w:r>
            <w:r>
              <w:rPr>
                <w:rFonts w:hint="eastAsia" w:ascii="仿宋_GB2312" w:hAnsi="仿宋_GB2312" w:eastAsia="仿宋_GB2312" w:cs="仿宋_GB2312"/>
                <w:kern w:val="0"/>
                <w:sz w:val="28"/>
                <w:szCs w:val="28"/>
              </w:rPr>
              <w:fldChar w:fldCharType="separate"/>
            </w:r>
            <w:r>
              <w:rPr>
                <w:rFonts w:hint="eastAsia" w:ascii="仿宋_GB2312" w:hAnsi="仿宋_GB2312" w:eastAsia="仿宋_GB2312" w:cs="仿宋_GB2312"/>
                <w:kern w:val="0"/>
                <w:sz w:val="28"/>
                <w:szCs w:val="28"/>
              </w:rPr>
              <w:t>1</w:t>
            </w:r>
            <w:r>
              <w:rPr>
                <w:rFonts w:hint="eastAsia" w:ascii="仿宋_GB2312" w:hAnsi="仿宋_GB2312" w:eastAsia="仿宋_GB2312" w:cs="仿宋_GB2312"/>
                <w:kern w:val="0"/>
                <w:sz w:val="28"/>
                <w:szCs w:val="28"/>
              </w:rPr>
              <w:fldChar w:fldCharType="end"/>
            </w:r>
            <w:r>
              <w:rPr>
                <w:rFonts w:hint="eastAsia" w:ascii="仿宋_GB2312" w:hAnsi="仿宋_GB2312" w:eastAsia="仿宋_GB2312" w:cs="仿宋_GB2312"/>
                <w:kern w:val="0"/>
                <w:sz w:val="28"/>
                <w:szCs w:val="28"/>
              </w:rPr>
              <w:t>.引进高层次优秀人才专项经费;2.留创园滨海分园租金、物业水电费用。</w:t>
            </w:r>
          </w:p>
        </w:tc>
      </w:tr>
      <w:tr w14:paraId="1211B1F2">
        <w:tblPrEx>
          <w:tblCellMar>
            <w:top w:w="0" w:type="dxa"/>
            <w:left w:w="0" w:type="dxa"/>
            <w:bottom w:w="0" w:type="dxa"/>
            <w:right w:w="0" w:type="dxa"/>
          </w:tblCellMar>
        </w:tblPrEx>
        <w:trPr>
          <w:trHeight w:val="3158"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A0513">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5.社保卡“一卡通”建设项目</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DF3CC">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按照部、省统一部署，建设社保卡“一卡通”应用项目，包括社保卡用卡环境改造（含读卡设备等升级）、社保卡写入各应用领域的密钥、与各应用领域的系统对接等，以社保卡为载体建立居民服务“一卡通”，保障实体社保卡就医购药结算服务顺畅，促进电子社保卡在医疗就诊领域的应用，联合推动在交通出行、文化旅游等政务服务、智慧城市领域用卡，支持各类民生卡融合和服务加载，形成更大范围的居民服务“一卡通”。</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EA1DA">
            <w:pPr>
              <w:widowControl/>
              <w:spacing w:line="40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市人社局</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D733A">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2021-2025年</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7E5BC">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100</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C8C47">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申请列入“数字福州”建设项目</w:t>
            </w:r>
          </w:p>
        </w:tc>
      </w:tr>
      <w:tr w14:paraId="5AC7B26E">
        <w:tblPrEx>
          <w:tblCellMar>
            <w:top w:w="0" w:type="dxa"/>
            <w:left w:w="0" w:type="dxa"/>
            <w:bottom w:w="0" w:type="dxa"/>
            <w:right w:w="0" w:type="dxa"/>
          </w:tblCellMar>
        </w:tblPrEx>
        <w:trPr>
          <w:trHeight w:val="2568"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26C9D">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6.福州市智慧人社综合决策平台</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B5694">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通过整合市级人社各部门业务数据，以多角度、自动化、可视化的模式，以多图表的展示形式，直观地展示我市就业、社保、人才、劳动关系等数据分析信息，从而提高我市人社数据辅助决策能力。</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49419">
            <w:pPr>
              <w:widowControl/>
              <w:spacing w:line="40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市人社局</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00958">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2021-2025年</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6D705">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120</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EF0B82">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申请列入“数字福州”建设项目</w:t>
            </w:r>
          </w:p>
        </w:tc>
      </w:tr>
      <w:tr w14:paraId="13DFBE7E">
        <w:tblPrEx>
          <w:tblCellMar>
            <w:top w:w="0" w:type="dxa"/>
            <w:left w:w="0" w:type="dxa"/>
            <w:bottom w:w="0" w:type="dxa"/>
            <w:right w:w="0" w:type="dxa"/>
          </w:tblCellMar>
        </w:tblPrEx>
        <w:trPr>
          <w:trHeight w:val="2568"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8818B6">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7.福州人社公共服务能力提升项目（金保工程三期）</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D18B4">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开展市级网站、微信公众号、APP等服务渠道的整合工作，加强统一身份认证，集合网上服务内容，打造“内部融通、外部联通”的“一网”（市人社局官网）、“一号”（福州人社微信公众号）、“一平台”（市社保卡“一卡通”公共服务平台）综合公共服务能力，并接入全市统一政务信息平台和“e福州”平台。</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B1B1D">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市人社局</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290D7">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2023年底</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5ABA">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80</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ADB42">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申请列入“数字福州”建设项目</w:t>
            </w:r>
          </w:p>
        </w:tc>
      </w:tr>
      <w:tr w14:paraId="6ADE4AD7">
        <w:tblPrEx>
          <w:tblCellMar>
            <w:top w:w="0" w:type="dxa"/>
            <w:left w:w="0" w:type="dxa"/>
            <w:bottom w:w="0" w:type="dxa"/>
            <w:right w:w="0" w:type="dxa"/>
          </w:tblCellMar>
        </w:tblPrEx>
        <w:trPr>
          <w:trHeight w:val="2568"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56FAA2">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8.劳动监测预警和智慧就业大数据平台</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6BE5F4">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积极对接省人社厅开发的劳动监测预警和智慧就业大数据平台，充分利用平台动态监测在建工程项目的工资发放情况和工资支付各项制度的落实情况，高效处理工程建设领域的欠薪问题；充分利用平台建设中的公共就业服务大厅，实现岗位介绍、失业保险、技能培训补贴、省级劳务协作、就业失业登记等功能，实现审批“减时、上网、便民”，打造高效便捷就业服务。</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32487">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市人社局</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B81D86">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2021-2025年</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F4867">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230</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7548B">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就业补助资金</w:t>
            </w:r>
          </w:p>
        </w:tc>
      </w:tr>
    </w:tbl>
    <w:p w14:paraId="60B06471">
      <w:pPr>
        <w:rPr>
          <w:rFonts w:hint="eastAsia" w:ascii="仿宋_GB2312" w:hAnsi="仿宋_GB2312" w:eastAsia="仿宋_GB2312" w:cs="仿宋_GB2312"/>
          <w:b/>
          <w:bCs/>
          <w:sz w:val="44"/>
          <w:szCs w:val="44"/>
        </w:rPr>
      </w:pPr>
    </w:p>
    <w:p w14:paraId="30571765">
      <w:r>
        <w:rPr>
          <w:rFonts w:hint="eastAsia"/>
        </w:rPr>
        <w:tab/>
      </w:r>
    </w:p>
    <w:sectPr>
      <w:headerReference r:id="rId7" w:type="default"/>
      <w:footerReference r:id="rId9" w:type="default"/>
      <w:headerReference r:id="rId8" w:type="even"/>
      <w:footerReference r:id="rId10" w:type="even"/>
      <w:type w:val="continuous"/>
      <w:pgSz w:w="11906" w:h="16838"/>
      <w:pgMar w:top="1588" w:right="1474" w:bottom="1701" w:left="1588" w:header="851" w:footer="992" w:gutter="0"/>
      <w:pgNumType w:fmt="numberInDash"/>
      <w:cols w:space="720" w:num="1"/>
      <w:docGrid w:type="linesAndChars" w:linePitch="312" w:charSpace="-61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08B0E81-1BB7-4F4D-A6F7-EE20D17D36A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8FBAC8A-B597-4F75-999B-5F7AA0826A9F}"/>
  </w:font>
  <w:font w:name="仿宋_GB2312">
    <w:altName w:val="仿宋"/>
    <w:panose1 w:val="02010609030101010101"/>
    <w:charset w:val="86"/>
    <w:family w:val="modern"/>
    <w:pitch w:val="default"/>
    <w:sig w:usb0="00000000" w:usb1="00000000" w:usb2="00000000" w:usb3="00000000" w:csb0="00040000" w:csb1="00000000"/>
    <w:embedRegular r:id="rId3" w:fontKey="{4C54B63D-118D-42AA-AED7-6BFC4321BBAE}"/>
  </w:font>
  <w:font w:name="仿宋">
    <w:panose1 w:val="02010609060101010101"/>
    <w:charset w:val="86"/>
    <w:family w:val="auto"/>
    <w:pitch w:val="default"/>
    <w:sig w:usb0="800002BF" w:usb1="38CF7CFA" w:usb2="00000016" w:usb3="00000000" w:csb0="00040001" w:csb1="00000000"/>
    <w:embedRegular r:id="rId4" w:fontKey="{3733B8FE-BB00-43D1-BA7E-2F2C4D9F0452}"/>
  </w:font>
  <w:font w:name="等线 Light">
    <w:panose1 w:val="02010600030101010101"/>
    <w:charset w:val="86"/>
    <w:family w:val="auto"/>
    <w:pitch w:val="default"/>
    <w:sig w:usb0="A00002BF" w:usb1="38CF7CFA" w:usb2="00000016" w:usb3="00000000" w:csb0="0004000F" w:csb1="00000000"/>
  </w:font>
  <w:font w:name="方正仿宋_GBK">
    <w:altName w:val="宋体"/>
    <w:panose1 w:val="00000000000000000000"/>
    <w:charset w:val="86"/>
    <w:family w:val="script"/>
    <w:pitch w:val="default"/>
    <w:sig w:usb0="00000000" w:usb1="00000000" w:usb2="00000000" w:usb3="00000000" w:csb0="00040000" w:csb1="00000000"/>
    <w:embedRegular r:id="rId5" w:fontKey="{CBB3D830-796A-4449-89D6-24EA79CADE7B}"/>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6" w:fontKey="{F238E52C-B1BC-4841-B8BB-BEF7AEE7BA56}"/>
  </w:font>
  <w:font w:name="楷体">
    <w:panose1 w:val="02010609060101010101"/>
    <w:charset w:val="86"/>
    <w:family w:val="auto"/>
    <w:pitch w:val="default"/>
    <w:sig w:usb0="800002BF" w:usb1="38CF7CFA" w:usb2="00000016" w:usb3="00000000" w:csb0="00040001" w:csb1="00000000"/>
    <w:embedRegular r:id="rId7" w:fontKey="{5FF08C89-B22A-4A46-A40E-92AB083A6457}"/>
  </w:font>
  <w:font w:name="??">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小标宋简体">
    <w:panose1 w:val="02000000000000000000"/>
    <w:charset w:val="86"/>
    <w:family w:val="auto"/>
    <w:pitch w:val="default"/>
    <w:sig w:usb0="00000001" w:usb1="08000000" w:usb2="00000000" w:usb3="00000000" w:csb0="00040000" w:csb1="00000000"/>
    <w:embedRegular r:id="rId8" w:fontKey="{6841DC21-E4AE-4412-A82F-6B3D60D1FBEA}"/>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92C6A">
    <w:pPr>
      <w:pStyle w:val="11"/>
      <w:ind w:firstLine="600"/>
      <w:jc w:val="center"/>
      <w:rPr>
        <w:sz w:val="21"/>
        <w:szCs w:val="21"/>
      </w:rPr>
    </w:pPr>
  </w:p>
  <w:p w14:paraId="57E3B608">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11FB5">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2A3A4">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47453759"/>
                          </w:sdtPr>
                          <w:sdtEndPr>
                            <w:rPr>
                              <w:sz w:val="28"/>
                              <w:szCs w:val="28"/>
                            </w:rPr>
                          </w:sdtEndPr>
                          <w:sdtContent>
                            <w:p w14:paraId="6AE29D44">
                              <w:pPr>
                                <w:pStyle w:val="11"/>
                                <w:jc w:val="cente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w:t>
                              </w:r>
                              <w:r>
                                <w:rPr>
                                  <w:sz w:val="28"/>
                                  <w:szCs w:val="28"/>
                                </w:rPr>
                                <w:t xml:space="preserve"> 57 -</w:t>
                              </w:r>
                              <w:r>
                                <w:rPr>
                                  <w:sz w:val="28"/>
                                  <w:szCs w:val="28"/>
                                </w:rPr>
                                <w:fldChar w:fldCharType="end"/>
                              </w:r>
                            </w:p>
                          </w:sdtContent>
                        </w:sdt>
                        <w:p w14:paraId="06911FB0">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sdt>
                    <w:sdtPr>
                      <w:id w:val="147453759"/>
                    </w:sdtPr>
                    <w:sdtEndPr>
                      <w:rPr>
                        <w:sz w:val="28"/>
                        <w:szCs w:val="28"/>
                      </w:rPr>
                    </w:sdtEndPr>
                    <w:sdtContent>
                      <w:p w14:paraId="6AE29D44">
                        <w:pPr>
                          <w:pStyle w:val="11"/>
                          <w:jc w:val="cente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w:t>
                        </w:r>
                        <w:r>
                          <w:rPr>
                            <w:sz w:val="28"/>
                            <w:szCs w:val="28"/>
                          </w:rPr>
                          <w:t xml:space="preserve"> 57 -</w:t>
                        </w:r>
                        <w:r>
                          <w:rPr>
                            <w:sz w:val="28"/>
                            <w:szCs w:val="28"/>
                          </w:rPr>
                          <w:fldChar w:fldCharType="end"/>
                        </w:r>
                      </w:p>
                    </w:sdtContent>
                  </w:sdt>
                  <w:p w14:paraId="06911FB0">
                    <w:pPr>
                      <w:pStyle w:val="2"/>
                    </w:pPr>
                  </w:p>
                </w:txbxContent>
              </v:textbox>
            </v:shape>
          </w:pict>
        </mc:Fallback>
      </mc:AlternateContent>
    </w:r>
  </w:p>
  <w:p w14:paraId="0A213345">
    <w:pPr>
      <w:pStyle w:val="11"/>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445F6">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47482875"/>
                          </w:sdtPr>
                          <w:sdtEndPr>
                            <w:rPr>
                              <w:sz w:val="28"/>
                              <w:szCs w:val="28"/>
                            </w:rPr>
                          </w:sdtEndPr>
                          <w:sdtContent>
                            <w:p w14:paraId="378C1D5F">
                              <w:pPr>
                                <w:pStyle w:val="11"/>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w:t>
                              </w:r>
                              <w:r>
                                <w:rPr>
                                  <w:sz w:val="28"/>
                                  <w:szCs w:val="28"/>
                                </w:rPr>
                                <w:t xml:space="preserve"> 58 -</w:t>
                              </w:r>
                              <w:r>
                                <w:rPr>
                                  <w:sz w:val="28"/>
                                  <w:szCs w:val="28"/>
                                </w:rPr>
                                <w:fldChar w:fldCharType="end"/>
                              </w:r>
                            </w:p>
                          </w:sdtContent>
                        </w:sdt>
                        <w:p w14:paraId="238D05A8">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sdt>
                    <w:sdtPr>
                      <w:id w:val="147482875"/>
                    </w:sdtPr>
                    <w:sdtEndPr>
                      <w:rPr>
                        <w:sz w:val="28"/>
                        <w:szCs w:val="28"/>
                      </w:rPr>
                    </w:sdtEndPr>
                    <w:sdtContent>
                      <w:p w14:paraId="378C1D5F">
                        <w:pPr>
                          <w:pStyle w:val="11"/>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w:t>
                        </w:r>
                        <w:r>
                          <w:rPr>
                            <w:sz w:val="28"/>
                            <w:szCs w:val="28"/>
                          </w:rPr>
                          <w:t xml:space="preserve"> 58 -</w:t>
                        </w:r>
                        <w:r>
                          <w:rPr>
                            <w:sz w:val="28"/>
                            <w:szCs w:val="28"/>
                          </w:rPr>
                          <w:fldChar w:fldCharType="end"/>
                        </w:r>
                      </w:p>
                    </w:sdtContent>
                  </w:sdt>
                  <w:p w14:paraId="238D05A8">
                    <w:pPr>
                      <w:pStyle w:val="2"/>
                    </w:pPr>
                  </w:p>
                </w:txbxContent>
              </v:textbox>
            </v:shape>
          </w:pict>
        </mc:Fallback>
      </mc:AlternateContent>
    </w:r>
  </w:p>
  <w:p w14:paraId="23FDF198">
    <w:pPr>
      <w:pStyle w:val="11"/>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10B72">
    <w:pPr>
      <w:pStyle w:val="12"/>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82D9D">
    <w:pPr>
      <w:pStyle w:val="12"/>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AEBF0A"/>
    <w:multiLevelType w:val="singleLevel"/>
    <w:tmpl w:val="69AEBF0A"/>
    <w:lvl w:ilvl="0" w:tentative="0">
      <w:start w:val="1"/>
      <w:numFmt w:val="decimal"/>
      <w:lvlText w:val="%1."/>
      <w:lvlJc w:val="left"/>
      <w:pPr>
        <w:tabs>
          <w:tab w:val="left" w:pos="312"/>
        </w:tabs>
      </w:pPr>
      <w:rPr>
        <w:rFonts w:hint="default"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trackRevisions w:val="1"/>
  <w:documentProtection w:enforcement="0"/>
  <w:defaultTabStop w:val="420"/>
  <w:evenAndOddHeaders w:val="1"/>
  <w:drawingGridHorizontalSpacing w:val="164"/>
  <w:drawingGridVerticalSpacing w:val="156"/>
  <w:noPunctuationKerning w:val="1"/>
  <w:characterSpacingControl w:val="compressPunctuation"/>
  <w:doNotValidateAgainstSchema/>
  <w:doNotDemarcateInvalidXml/>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31"/>
    <w:rsid w:val="000021BD"/>
    <w:rsid w:val="000054BC"/>
    <w:rsid w:val="00005C07"/>
    <w:rsid w:val="000164E0"/>
    <w:rsid w:val="00017843"/>
    <w:rsid w:val="00020193"/>
    <w:rsid w:val="00023373"/>
    <w:rsid w:val="000257F6"/>
    <w:rsid w:val="00026945"/>
    <w:rsid w:val="00027791"/>
    <w:rsid w:val="00031442"/>
    <w:rsid w:val="000323D2"/>
    <w:rsid w:val="00034043"/>
    <w:rsid w:val="00034D13"/>
    <w:rsid w:val="000402F2"/>
    <w:rsid w:val="00043A78"/>
    <w:rsid w:val="00047617"/>
    <w:rsid w:val="00051353"/>
    <w:rsid w:val="00052717"/>
    <w:rsid w:val="00052C2E"/>
    <w:rsid w:val="00053FC2"/>
    <w:rsid w:val="00054C1F"/>
    <w:rsid w:val="00055A66"/>
    <w:rsid w:val="00055C68"/>
    <w:rsid w:val="00055F0A"/>
    <w:rsid w:val="00061792"/>
    <w:rsid w:val="000628A8"/>
    <w:rsid w:val="0006368D"/>
    <w:rsid w:val="00065229"/>
    <w:rsid w:val="00070E70"/>
    <w:rsid w:val="00072366"/>
    <w:rsid w:val="00072EE7"/>
    <w:rsid w:val="0007314D"/>
    <w:rsid w:val="00075152"/>
    <w:rsid w:val="00076341"/>
    <w:rsid w:val="000768A7"/>
    <w:rsid w:val="00080F8E"/>
    <w:rsid w:val="00081662"/>
    <w:rsid w:val="00082693"/>
    <w:rsid w:val="00083533"/>
    <w:rsid w:val="0008495C"/>
    <w:rsid w:val="00084C66"/>
    <w:rsid w:val="0008514A"/>
    <w:rsid w:val="00086A83"/>
    <w:rsid w:val="000910D6"/>
    <w:rsid w:val="00095DAB"/>
    <w:rsid w:val="000969BA"/>
    <w:rsid w:val="00097E36"/>
    <w:rsid w:val="000A1B07"/>
    <w:rsid w:val="000A2413"/>
    <w:rsid w:val="000A289B"/>
    <w:rsid w:val="000A58D9"/>
    <w:rsid w:val="000B072E"/>
    <w:rsid w:val="000B10F6"/>
    <w:rsid w:val="000B28EE"/>
    <w:rsid w:val="000C3EB2"/>
    <w:rsid w:val="000C7C86"/>
    <w:rsid w:val="000D3C15"/>
    <w:rsid w:val="000D4064"/>
    <w:rsid w:val="000D4686"/>
    <w:rsid w:val="000D7D70"/>
    <w:rsid w:val="000E1C31"/>
    <w:rsid w:val="000E2BEB"/>
    <w:rsid w:val="000E3080"/>
    <w:rsid w:val="000F034F"/>
    <w:rsid w:val="000F0818"/>
    <w:rsid w:val="000F3862"/>
    <w:rsid w:val="000F416A"/>
    <w:rsid w:val="000F6E2A"/>
    <w:rsid w:val="00103528"/>
    <w:rsid w:val="00103AE5"/>
    <w:rsid w:val="001043A6"/>
    <w:rsid w:val="00112618"/>
    <w:rsid w:val="00115504"/>
    <w:rsid w:val="00122140"/>
    <w:rsid w:val="00122DE0"/>
    <w:rsid w:val="00122E27"/>
    <w:rsid w:val="00123A8F"/>
    <w:rsid w:val="00125867"/>
    <w:rsid w:val="00126C14"/>
    <w:rsid w:val="00130767"/>
    <w:rsid w:val="001316D0"/>
    <w:rsid w:val="001321C8"/>
    <w:rsid w:val="00133CC4"/>
    <w:rsid w:val="001363E6"/>
    <w:rsid w:val="001376D8"/>
    <w:rsid w:val="00140166"/>
    <w:rsid w:val="00143497"/>
    <w:rsid w:val="0014433D"/>
    <w:rsid w:val="00144CB7"/>
    <w:rsid w:val="001464C2"/>
    <w:rsid w:val="00150A34"/>
    <w:rsid w:val="00154A45"/>
    <w:rsid w:val="00160231"/>
    <w:rsid w:val="001619A7"/>
    <w:rsid w:val="001626B2"/>
    <w:rsid w:val="00163A03"/>
    <w:rsid w:val="0016798A"/>
    <w:rsid w:val="0017003C"/>
    <w:rsid w:val="00170507"/>
    <w:rsid w:val="00172A27"/>
    <w:rsid w:val="00174BAB"/>
    <w:rsid w:val="001813BE"/>
    <w:rsid w:val="001819BD"/>
    <w:rsid w:val="00184FBD"/>
    <w:rsid w:val="0018681B"/>
    <w:rsid w:val="00195954"/>
    <w:rsid w:val="001A021A"/>
    <w:rsid w:val="001A06ED"/>
    <w:rsid w:val="001A11B2"/>
    <w:rsid w:val="001A68AE"/>
    <w:rsid w:val="001A7A18"/>
    <w:rsid w:val="001A7AE9"/>
    <w:rsid w:val="001A7C8A"/>
    <w:rsid w:val="001B14A7"/>
    <w:rsid w:val="001B1745"/>
    <w:rsid w:val="001B2149"/>
    <w:rsid w:val="001B4110"/>
    <w:rsid w:val="001B45FE"/>
    <w:rsid w:val="001B67EE"/>
    <w:rsid w:val="001B751E"/>
    <w:rsid w:val="001B7D77"/>
    <w:rsid w:val="001C06A6"/>
    <w:rsid w:val="001C28BE"/>
    <w:rsid w:val="001C311F"/>
    <w:rsid w:val="001C58AF"/>
    <w:rsid w:val="001C7E6F"/>
    <w:rsid w:val="001D2C2E"/>
    <w:rsid w:val="001D4714"/>
    <w:rsid w:val="001D5983"/>
    <w:rsid w:val="001D7759"/>
    <w:rsid w:val="001E09F4"/>
    <w:rsid w:val="001E5343"/>
    <w:rsid w:val="001E679D"/>
    <w:rsid w:val="001F1E49"/>
    <w:rsid w:val="001F35F9"/>
    <w:rsid w:val="001F3941"/>
    <w:rsid w:val="001F4D25"/>
    <w:rsid w:val="00202B8F"/>
    <w:rsid w:val="00203881"/>
    <w:rsid w:val="002042F4"/>
    <w:rsid w:val="002046DC"/>
    <w:rsid w:val="00204A46"/>
    <w:rsid w:val="00204D5A"/>
    <w:rsid w:val="0020641F"/>
    <w:rsid w:val="00211129"/>
    <w:rsid w:val="002112F2"/>
    <w:rsid w:val="00211C7C"/>
    <w:rsid w:val="00212D83"/>
    <w:rsid w:val="00213E53"/>
    <w:rsid w:val="00214433"/>
    <w:rsid w:val="00216932"/>
    <w:rsid w:val="002200D2"/>
    <w:rsid w:val="0022124D"/>
    <w:rsid w:val="00221375"/>
    <w:rsid w:val="002223F2"/>
    <w:rsid w:val="00223196"/>
    <w:rsid w:val="00224745"/>
    <w:rsid w:val="00224F99"/>
    <w:rsid w:val="00225C98"/>
    <w:rsid w:val="00227BF4"/>
    <w:rsid w:val="00231C56"/>
    <w:rsid w:val="00232A0F"/>
    <w:rsid w:val="002367A7"/>
    <w:rsid w:val="002435F1"/>
    <w:rsid w:val="00244710"/>
    <w:rsid w:val="00244A1C"/>
    <w:rsid w:val="00245298"/>
    <w:rsid w:val="00250CE3"/>
    <w:rsid w:val="00252F38"/>
    <w:rsid w:val="0025346C"/>
    <w:rsid w:val="0025425D"/>
    <w:rsid w:val="0025657B"/>
    <w:rsid w:val="002572A3"/>
    <w:rsid w:val="002605DB"/>
    <w:rsid w:val="0026302A"/>
    <w:rsid w:val="00264403"/>
    <w:rsid w:val="002657D7"/>
    <w:rsid w:val="0026607B"/>
    <w:rsid w:val="00266BFB"/>
    <w:rsid w:val="0027063A"/>
    <w:rsid w:val="002742D6"/>
    <w:rsid w:val="00280BBB"/>
    <w:rsid w:val="0029268B"/>
    <w:rsid w:val="00293B3A"/>
    <w:rsid w:val="002A0DD0"/>
    <w:rsid w:val="002A2338"/>
    <w:rsid w:val="002A627E"/>
    <w:rsid w:val="002B12AF"/>
    <w:rsid w:val="002B2D08"/>
    <w:rsid w:val="002B527C"/>
    <w:rsid w:val="002B695A"/>
    <w:rsid w:val="002B7172"/>
    <w:rsid w:val="002C7D9A"/>
    <w:rsid w:val="002D186E"/>
    <w:rsid w:val="002D20D1"/>
    <w:rsid w:val="002D59A0"/>
    <w:rsid w:val="002D6A6C"/>
    <w:rsid w:val="002D773B"/>
    <w:rsid w:val="002D7956"/>
    <w:rsid w:val="002E08FA"/>
    <w:rsid w:val="002E37CE"/>
    <w:rsid w:val="002E49D7"/>
    <w:rsid w:val="002F0083"/>
    <w:rsid w:val="002F0271"/>
    <w:rsid w:val="002F1DE3"/>
    <w:rsid w:val="002F38B9"/>
    <w:rsid w:val="00300300"/>
    <w:rsid w:val="00304933"/>
    <w:rsid w:val="0031098B"/>
    <w:rsid w:val="00311F79"/>
    <w:rsid w:val="00315880"/>
    <w:rsid w:val="0031649D"/>
    <w:rsid w:val="003173EB"/>
    <w:rsid w:val="00317818"/>
    <w:rsid w:val="0032172E"/>
    <w:rsid w:val="00324569"/>
    <w:rsid w:val="00326759"/>
    <w:rsid w:val="00326FE9"/>
    <w:rsid w:val="00327112"/>
    <w:rsid w:val="003306FE"/>
    <w:rsid w:val="003314AD"/>
    <w:rsid w:val="00333D09"/>
    <w:rsid w:val="003345F0"/>
    <w:rsid w:val="00335270"/>
    <w:rsid w:val="0033532F"/>
    <w:rsid w:val="00336C49"/>
    <w:rsid w:val="003408B1"/>
    <w:rsid w:val="00343A42"/>
    <w:rsid w:val="00345BF4"/>
    <w:rsid w:val="00347E65"/>
    <w:rsid w:val="00350656"/>
    <w:rsid w:val="003520D4"/>
    <w:rsid w:val="00352AAA"/>
    <w:rsid w:val="00352D91"/>
    <w:rsid w:val="00352E4B"/>
    <w:rsid w:val="003543B7"/>
    <w:rsid w:val="0036081E"/>
    <w:rsid w:val="00363F31"/>
    <w:rsid w:val="003644EE"/>
    <w:rsid w:val="00365CB6"/>
    <w:rsid w:val="00367CF2"/>
    <w:rsid w:val="00370C3D"/>
    <w:rsid w:val="00371978"/>
    <w:rsid w:val="00372C15"/>
    <w:rsid w:val="00374815"/>
    <w:rsid w:val="0038399F"/>
    <w:rsid w:val="0038550E"/>
    <w:rsid w:val="00385CF9"/>
    <w:rsid w:val="003912DA"/>
    <w:rsid w:val="00395611"/>
    <w:rsid w:val="00395ED0"/>
    <w:rsid w:val="003A1456"/>
    <w:rsid w:val="003A1E52"/>
    <w:rsid w:val="003A2922"/>
    <w:rsid w:val="003A2FD7"/>
    <w:rsid w:val="003A7001"/>
    <w:rsid w:val="003A7689"/>
    <w:rsid w:val="003A7AB6"/>
    <w:rsid w:val="003A7D61"/>
    <w:rsid w:val="003B07D1"/>
    <w:rsid w:val="003B1CAD"/>
    <w:rsid w:val="003B22BE"/>
    <w:rsid w:val="003B2C41"/>
    <w:rsid w:val="003B54E1"/>
    <w:rsid w:val="003C237D"/>
    <w:rsid w:val="003C662D"/>
    <w:rsid w:val="003D1F55"/>
    <w:rsid w:val="003D2017"/>
    <w:rsid w:val="003D4666"/>
    <w:rsid w:val="003D46A7"/>
    <w:rsid w:val="003E2AEB"/>
    <w:rsid w:val="003E6E01"/>
    <w:rsid w:val="003E7317"/>
    <w:rsid w:val="003E7576"/>
    <w:rsid w:val="003F01C6"/>
    <w:rsid w:val="003F0AA7"/>
    <w:rsid w:val="003F0F13"/>
    <w:rsid w:val="003F151F"/>
    <w:rsid w:val="003F34AB"/>
    <w:rsid w:val="003F50EF"/>
    <w:rsid w:val="003F561D"/>
    <w:rsid w:val="003F621B"/>
    <w:rsid w:val="003F6AC4"/>
    <w:rsid w:val="00402749"/>
    <w:rsid w:val="004032B3"/>
    <w:rsid w:val="0040346C"/>
    <w:rsid w:val="004058A4"/>
    <w:rsid w:val="00407F9E"/>
    <w:rsid w:val="00410B5D"/>
    <w:rsid w:val="00410DCE"/>
    <w:rsid w:val="00411F1C"/>
    <w:rsid w:val="0041471B"/>
    <w:rsid w:val="00414931"/>
    <w:rsid w:val="00415D08"/>
    <w:rsid w:val="00415FCA"/>
    <w:rsid w:val="00417CDD"/>
    <w:rsid w:val="00417EB8"/>
    <w:rsid w:val="00417F6A"/>
    <w:rsid w:val="0042021F"/>
    <w:rsid w:val="004208C0"/>
    <w:rsid w:val="004217FA"/>
    <w:rsid w:val="00423141"/>
    <w:rsid w:val="00424C46"/>
    <w:rsid w:val="00424CA5"/>
    <w:rsid w:val="00425A39"/>
    <w:rsid w:val="0042715F"/>
    <w:rsid w:val="004322C4"/>
    <w:rsid w:val="00432902"/>
    <w:rsid w:val="00433BCA"/>
    <w:rsid w:val="0043505D"/>
    <w:rsid w:val="0043585B"/>
    <w:rsid w:val="00442113"/>
    <w:rsid w:val="00442B5D"/>
    <w:rsid w:val="00443FE9"/>
    <w:rsid w:val="0044417F"/>
    <w:rsid w:val="00445755"/>
    <w:rsid w:val="00451585"/>
    <w:rsid w:val="004526C8"/>
    <w:rsid w:val="00452CBC"/>
    <w:rsid w:val="004550AE"/>
    <w:rsid w:val="004557E2"/>
    <w:rsid w:val="00460856"/>
    <w:rsid w:val="00464B28"/>
    <w:rsid w:val="00465FFE"/>
    <w:rsid w:val="004676F2"/>
    <w:rsid w:val="004679AD"/>
    <w:rsid w:val="00470BAE"/>
    <w:rsid w:val="00472257"/>
    <w:rsid w:val="00473DB2"/>
    <w:rsid w:val="0047538F"/>
    <w:rsid w:val="0047684C"/>
    <w:rsid w:val="00477240"/>
    <w:rsid w:val="00477857"/>
    <w:rsid w:val="00483405"/>
    <w:rsid w:val="00485DAF"/>
    <w:rsid w:val="00491D25"/>
    <w:rsid w:val="0049320D"/>
    <w:rsid w:val="00497490"/>
    <w:rsid w:val="004977CD"/>
    <w:rsid w:val="00497AA5"/>
    <w:rsid w:val="00497D17"/>
    <w:rsid w:val="00497E80"/>
    <w:rsid w:val="004A0CED"/>
    <w:rsid w:val="004A428C"/>
    <w:rsid w:val="004A5D24"/>
    <w:rsid w:val="004B5695"/>
    <w:rsid w:val="004B6D21"/>
    <w:rsid w:val="004B72F2"/>
    <w:rsid w:val="004B7796"/>
    <w:rsid w:val="004C1948"/>
    <w:rsid w:val="004C6586"/>
    <w:rsid w:val="004C6E9A"/>
    <w:rsid w:val="004D01EE"/>
    <w:rsid w:val="004D03AF"/>
    <w:rsid w:val="004D6465"/>
    <w:rsid w:val="004E1E43"/>
    <w:rsid w:val="004E52E4"/>
    <w:rsid w:val="004E6514"/>
    <w:rsid w:val="004F3B54"/>
    <w:rsid w:val="004F5370"/>
    <w:rsid w:val="00500048"/>
    <w:rsid w:val="005012B2"/>
    <w:rsid w:val="00501A72"/>
    <w:rsid w:val="00503A30"/>
    <w:rsid w:val="00505E1F"/>
    <w:rsid w:val="00506D78"/>
    <w:rsid w:val="0051254B"/>
    <w:rsid w:val="00513B11"/>
    <w:rsid w:val="00515491"/>
    <w:rsid w:val="00520A0D"/>
    <w:rsid w:val="005214CC"/>
    <w:rsid w:val="005235B9"/>
    <w:rsid w:val="00523847"/>
    <w:rsid w:val="00525C1D"/>
    <w:rsid w:val="005315F2"/>
    <w:rsid w:val="00533B4C"/>
    <w:rsid w:val="00540585"/>
    <w:rsid w:val="00542F46"/>
    <w:rsid w:val="00556050"/>
    <w:rsid w:val="00557E1D"/>
    <w:rsid w:val="00561AA5"/>
    <w:rsid w:val="005648DC"/>
    <w:rsid w:val="00566B96"/>
    <w:rsid w:val="00572BE3"/>
    <w:rsid w:val="00572C2A"/>
    <w:rsid w:val="00582E02"/>
    <w:rsid w:val="00583D68"/>
    <w:rsid w:val="0058496C"/>
    <w:rsid w:val="00584D3D"/>
    <w:rsid w:val="005916D3"/>
    <w:rsid w:val="0059272D"/>
    <w:rsid w:val="00594158"/>
    <w:rsid w:val="0059641D"/>
    <w:rsid w:val="00597E87"/>
    <w:rsid w:val="005A3F53"/>
    <w:rsid w:val="005A4E2D"/>
    <w:rsid w:val="005A7BE0"/>
    <w:rsid w:val="005B25C4"/>
    <w:rsid w:val="005C02A0"/>
    <w:rsid w:val="005C1D24"/>
    <w:rsid w:val="005D101B"/>
    <w:rsid w:val="005D314E"/>
    <w:rsid w:val="005D36C7"/>
    <w:rsid w:val="005D45A8"/>
    <w:rsid w:val="005D4630"/>
    <w:rsid w:val="005E1687"/>
    <w:rsid w:val="005E1781"/>
    <w:rsid w:val="005E3E6F"/>
    <w:rsid w:val="005E4005"/>
    <w:rsid w:val="005E581D"/>
    <w:rsid w:val="005F0334"/>
    <w:rsid w:val="005F57BC"/>
    <w:rsid w:val="005F5E1C"/>
    <w:rsid w:val="005F699B"/>
    <w:rsid w:val="005F6F7F"/>
    <w:rsid w:val="00602C0C"/>
    <w:rsid w:val="00612125"/>
    <w:rsid w:val="00612763"/>
    <w:rsid w:val="00612F17"/>
    <w:rsid w:val="006137CE"/>
    <w:rsid w:val="00615F64"/>
    <w:rsid w:val="00620911"/>
    <w:rsid w:val="006216C0"/>
    <w:rsid w:val="00621F53"/>
    <w:rsid w:val="006220E3"/>
    <w:rsid w:val="0062307F"/>
    <w:rsid w:val="006238F8"/>
    <w:rsid w:val="0062487A"/>
    <w:rsid w:val="00624FDB"/>
    <w:rsid w:val="00625651"/>
    <w:rsid w:val="00633D64"/>
    <w:rsid w:val="0063475A"/>
    <w:rsid w:val="00634B07"/>
    <w:rsid w:val="00634FEA"/>
    <w:rsid w:val="00636AFF"/>
    <w:rsid w:val="00636C30"/>
    <w:rsid w:val="0064308C"/>
    <w:rsid w:val="00645498"/>
    <w:rsid w:val="00647F85"/>
    <w:rsid w:val="006508A6"/>
    <w:rsid w:val="00651E9C"/>
    <w:rsid w:val="00653A92"/>
    <w:rsid w:val="006612FC"/>
    <w:rsid w:val="00661530"/>
    <w:rsid w:val="0066173B"/>
    <w:rsid w:val="00662E06"/>
    <w:rsid w:val="00662EA8"/>
    <w:rsid w:val="00663876"/>
    <w:rsid w:val="00663D18"/>
    <w:rsid w:val="00664705"/>
    <w:rsid w:val="00666CA4"/>
    <w:rsid w:val="0066720F"/>
    <w:rsid w:val="0066722D"/>
    <w:rsid w:val="0067085E"/>
    <w:rsid w:val="006708AB"/>
    <w:rsid w:val="00674002"/>
    <w:rsid w:val="006745DE"/>
    <w:rsid w:val="00680724"/>
    <w:rsid w:val="006906DC"/>
    <w:rsid w:val="00695099"/>
    <w:rsid w:val="006961F6"/>
    <w:rsid w:val="00697810"/>
    <w:rsid w:val="006A1044"/>
    <w:rsid w:val="006A1CBD"/>
    <w:rsid w:val="006A72E7"/>
    <w:rsid w:val="006B00F1"/>
    <w:rsid w:val="006B0477"/>
    <w:rsid w:val="006B24F5"/>
    <w:rsid w:val="006B38E4"/>
    <w:rsid w:val="006B39CC"/>
    <w:rsid w:val="006B3E37"/>
    <w:rsid w:val="006B4FCE"/>
    <w:rsid w:val="006B76AC"/>
    <w:rsid w:val="006B7D24"/>
    <w:rsid w:val="006C087D"/>
    <w:rsid w:val="006C23A7"/>
    <w:rsid w:val="006C3D97"/>
    <w:rsid w:val="006C6691"/>
    <w:rsid w:val="006C6E06"/>
    <w:rsid w:val="006D0E64"/>
    <w:rsid w:val="006D25E1"/>
    <w:rsid w:val="006D260E"/>
    <w:rsid w:val="006D3A05"/>
    <w:rsid w:val="006D3B8D"/>
    <w:rsid w:val="006D55A1"/>
    <w:rsid w:val="006D67C8"/>
    <w:rsid w:val="006D69AC"/>
    <w:rsid w:val="006D6ADE"/>
    <w:rsid w:val="006E2A9C"/>
    <w:rsid w:val="006E6A80"/>
    <w:rsid w:val="006E7541"/>
    <w:rsid w:val="006E755E"/>
    <w:rsid w:val="006F1928"/>
    <w:rsid w:val="006F46C7"/>
    <w:rsid w:val="006F62B5"/>
    <w:rsid w:val="006F7F36"/>
    <w:rsid w:val="00700796"/>
    <w:rsid w:val="00701C5B"/>
    <w:rsid w:val="0070357E"/>
    <w:rsid w:val="00706738"/>
    <w:rsid w:val="00706B8B"/>
    <w:rsid w:val="00710127"/>
    <w:rsid w:val="00710270"/>
    <w:rsid w:val="007106EA"/>
    <w:rsid w:val="00712523"/>
    <w:rsid w:val="0071557D"/>
    <w:rsid w:val="0072234B"/>
    <w:rsid w:val="00722CAC"/>
    <w:rsid w:val="00730F84"/>
    <w:rsid w:val="00742B79"/>
    <w:rsid w:val="00745C18"/>
    <w:rsid w:val="00746F4B"/>
    <w:rsid w:val="007470B2"/>
    <w:rsid w:val="00753363"/>
    <w:rsid w:val="00753D3D"/>
    <w:rsid w:val="00756DC9"/>
    <w:rsid w:val="007607B5"/>
    <w:rsid w:val="00760865"/>
    <w:rsid w:val="00761B38"/>
    <w:rsid w:val="00766EC5"/>
    <w:rsid w:val="00770107"/>
    <w:rsid w:val="00770D6F"/>
    <w:rsid w:val="0077480E"/>
    <w:rsid w:val="00774D4A"/>
    <w:rsid w:val="0077592C"/>
    <w:rsid w:val="007772F4"/>
    <w:rsid w:val="0078094F"/>
    <w:rsid w:val="00784465"/>
    <w:rsid w:val="007861DF"/>
    <w:rsid w:val="00787A27"/>
    <w:rsid w:val="00791E76"/>
    <w:rsid w:val="007A1D21"/>
    <w:rsid w:val="007A3330"/>
    <w:rsid w:val="007B1117"/>
    <w:rsid w:val="007B1841"/>
    <w:rsid w:val="007B3E06"/>
    <w:rsid w:val="007B6AD8"/>
    <w:rsid w:val="007B6FAE"/>
    <w:rsid w:val="007C220A"/>
    <w:rsid w:val="007C573A"/>
    <w:rsid w:val="007D0ACA"/>
    <w:rsid w:val="007D0C86"/>
    <w:rsid w:val="007D2C42"/>
    <w:rsid w:val="007D4E32"/>
    <w:rsid w:val="007D52F0"/>
    <w:rsid w:val="007D5E8E"/>
    <w:rsid w:val="007D6C89"/>
    <w:rsid w:val="007D7287"/>
    <w:rsid w:val="007E0351"/>
    <w:rsid w:val="007E07B3"/>
    <w:rsid w:val="007E11A7"/>
    <w:rsid w:val="007E1B8E"/>
    <w:rsid w:val="007E1C37"/>
    <w:rsid w:val="007E254A"/>
    <w:rsid w:val="007E3112"/>
    <w:rsid w:val="007E5A4E"/>
    <w:rsid w:val="007F0E02"/>
    <w:rsid w:val="007F0F5E"/>
    <w:rsid w:val="007F2840"/>
    <w:rsid w:val="007F43E9"/>
    <w:rsid w:val="007F6572"/>
    <w:rsid w:val="007F6EAC"/>
    <w:rsid w:val="008071C1"/>
    <w:rsid w:val="00807923"/>
    <w:rsid w:val="008079C7"/>
    <w:rsid w:val="0081307F"/>
    <w:rsid w:val="0081768B"/>
    <w:rsid w:val="00817B71"/>
    <w:rsid w:val="00820FD5"/>
    <w:rsid w:val="00824A70"/>
    <w:rsid w:val="00825F64"/>
    <w:rsid w:val="00830A13"/>
    <w:rsid w:val="008325D6"/>
    <w:rsid w:val="008344D6"/>
    <w:rsid w:val="00834571"/>
    <w:rsid w:val="00840D6B"/>
    <w:rsid w:val="00840F2E"/>
    <w:rsid w:val="00841E17"/>
    <w:rsid w:val="008425AA"/>
    <w:rsid w:val="00843B91"/>
    <w:rsid w:val="008452D6"/>
    <w:rsid w:val="00847182"/>
    <w:rsid w:val="00852B39"/>
    <w:rsid w:val="00853672"/>
    <w:rsid w:val="0086247C"/>
    <w:rsid w:val="0086406F"/>
    <w:rsid w:val="00864BD6"/>
    <w:rsid w:val="008650E2"/>
    <w:rsid w:val="008654DB"/>
    <w:rsid w:val="00866343"/>
    <w:rsid w:val="00867157"/>
    <w:rsid w:val="00867492"/>
    <w:rsid w:val="0087089B"/>
    <w:rsid w:val="00872793"/>
    <w:rsid w:val="00872ABB"/>
    <w:rsid w:val="0087396E"/>
    <w:rsid w:val="008739ED"/>
    <w:rsid w:val="00873AC6"/>
    <w:rsid w:val="008757AF"/>
    <w:rsid w:val="008760E0"/>
    <w:rsid w:val="008770F5"/>
    <w:rsid w:val="00877334"/>
    <w:rsid w:val="00880C86"/>
    <w:rsid w:val="0088131C"/>
    <w:rsid w:val="00881F00"/>
    <w:rsid w:val="00882450"/>
    <w:rsid w:val="0088719B"/>
    <w:rsid w:val="008900FE"/>
    <w:rsid w:val="00891923"/>
    <w:rsid w:val="008A1556"/>
    <w:rsid w:val="008A392F"/>
    <w:rsid w:val="008B329E"/>
    <w:rsid w:val="008B54DC"/>
    <w:rsid w:val="008B7F00"/>
    <w:rsid w:val="008C2A4F"/>
    <w:rsid w:val="008C611F"/>
    <w:rsid w:val="008D192B"/>
    <w:rsid w:val="008D1B94"/>
    <w:rsid w:val="008D2333"/>
    <w:rsid w:val="008E142A"/>
    <w:rsid w:val="008E67E0"/>
    <w:rsid w:val="008F2429"/>
    <w:rsid w:val="008F3285"/>
    <w:rsid w:val="008F7C35"/>
    <w:rsid w:val="0090106C"/>
    <w:rsid w:val="0090133E"/>
    <w:rsid w:val="009014B9"/>
    <w:rsid w:val="00902F04"/>
    <w:rsid w:val="00904561"/>
    <w:rsid w:val="00905253"/>
    <w:rsid w:val="0090783D"/>
    <w:rsid w:val="00907E83"/>
    <w:rsid w:val="0091033A"/>
    <w:rsid w:val="00910C19"/>
    <w:rsid w:val="0091188C"/>
    <w:rsid w:val="00911D47"/>
    <w:rsid w:val="00911D7E"/>
    <w:rsid w:val="00915491"/>
    <w:rsid w:val="00921B33"/>
    <w:rsid w:val="00922C0B"/>
    <w:rsid w:val="0092554A"/>
    <w:rsid w:val="00926678"/>
    <w:rsid w:val="00932427"/>
    <w:rsid w:val="00934CDD"/>
    <w:rsid w:val="009352AC"/>
    <w:rsid w:val="00935818"/>
    <w:rsid w:val="009442E9"/>
    <w:rsid w:val="0094492C"/>
    <w:rsid w:val="0094734D"/>
    <w:rsid w:val="0095016C"/>
    <w:rsid w:val="00951386"/>
    <w:rsid w:val="00951490"/>
    <w:rsid w:val="00953E45"/>
    <w:rsid w:val="00955153"/>
    <w:rsid w:val="009660AB"/>
    <w:rsid w:val="00970C28"/>
    <w:rsid w:val="0097287E"/>
    <w:rsid w:val="009729F3"/>
    <w:rsid w:val="00974748"/>
    <w:rsid w:val="00974FD4"/>
    <w:rsid w:val="00980689"/>
    <w:rsid w:val="00980DB5"/>
    <w:rsid w:val="0098156C"/>
    <w:rsid w:val="009830B7"/>
    <w:rsid w:val="009858C0"/>
    <w:rsid w:val="0099303D"/>
    <w:rsid w:val="009933FB"/>
    <w:rsid w:val="00996B8E"/>
    <w:rsid w:val="009979F1"/>
    <w:rsid w:val="009A0AD6"/>
    <w:rsid w:val="009A4F7D"/>
    <w:rsid w:val="009A54D4"/>
    <w:rsid w:val="009B1833"/>
    <w:rsid w:val="009B67AC"/>
    <w:rsid w:val="009C3127"/>
    <w:rsid w:val="009C4047"/>
    <w:rsid w:val="009C73F9"/>
    <w:rsid w:val="009D0BDB"/>
    <w:rsid w:val="009D680C"/>
    <w:rsid w:val="009D7D67"/>
    <w:rsid w:val="009D7FFB"/>
    <w:rsid w:val="009E221A"/>
    <w:rsid w:val="009E6865"/>
    <w:rsid w:val="009E68D1"/>
    <w:rsid w:val="009F0BD7"/>
    <w:rsid w:val="009F13B2"/>
    <w:rsid w:val="009F351F"/>
    <w:rsid w:val="009F3EFD"/>
    <w:rsid w:val="009F7934"/>
    <w:rsid w:val="00A036B2"/>
    <w:rsid w:val="00A0656E"/>
    <w:rsid w:val="00A07F20"/>
    <w:rsid w:val="00A1113B"/>
    <w:rsid w:val="00A12BC5"/>
    <w:rsid w:val="00A16604"/>
    <w:rsid w:val="00A17DF7"/>
    <w:rsid w:val="00A206DB"/>
    <w:rsid w:val="00A20B5C"/>
    <w:rsid w:val="00A20C2C"/>
    <w:rsid w:val="00A246A3"/>
    <w:rsid w:val="00A24942"/>
    <w:rsid w:val="00A258E0"/>
    <w:rsid w:val="00A31599"/>
    <w:rsid w:val="00A3187C"/>
    <w:rsid w:val="00A321ED"/>
    <w:rsid w:val="00A32C6F"/>
    <w:rsid w:val="00A34509"/>
    <w:rsid w:val="00A34D1E"/>
    <w:rsid w:val="00A3725B"/>
    <w:rsid w:val="00A428DC"/>
    <w:rsid w:val="00A42FEC"/>
    <w:rsid w:val="00A43B5A"/>
    <w:rsid w:val="00A47A03"/>
    <w:rsid w:val="00A502C3"/>
    <w:rsid w:val="00A51A89"/>
    <w:rsid w:val="00A53421"/>
    <w:rsid w:val="00A54F06"/>
    <w:rsid w:val="00A6373D"/>
    <w:rsid w:val="00A679D7"/>
    <w:rsid w:val="00A71AE1"/>
    <w:rsid w:val="00A7300C"/>
    <w:rsid w:val="00A76A23"/>
    <w:rsid w:val="00A805D1"/>
    <w:rsid w:val="00A84C9E"/>
    <w:rsid w:val="00A857D9"/>
    <w:rsid w:val="00A86A69"/>
    <w:rsid w:val="00A907F4"/>
    <w:rsid w:val="00A912EB"/>
    <w:rsid w:val="00A91587"/>
    <w:rsid w:val="00A9219F"/>
    <w:rsid w:val="00A92C9C"/>
    <w:rsid w:val="00A954AA"/>
    <w:rsid w:val="00AA272C"/>
    <w:rsid w:val="00AA36C6"/>
    <w:rsid w:val="00AB0768"/>
    <w:rsid w:val="00AB19E8"/>
    <w:rsid w:val="00AB2583"/>
    <w:rsid w:val="00AB3B36"/>
    <w:rsid w:val="00AB76C5"/>
    <w:rsid w:val="00AC1582"/>
    <w:rsid w:val="00AC1F9E"/>
    <w:rsid w:val="00AC5284"/>
    <w:rsid w:val="00AC6B0A"/>
    <w:rsid w:val="00AD57D5"/>
    <w:rsid w:val="00AE08AE"/>
    <w:rsid w:val="00AE3817"/>
    <w:rsid w:val="00AE417B"/>
    <w:rsid w:val="00AE4FFB"/>
    <w:rsid w:val="00AE7A42"/>
    <w:rsid w:val="00AF2870"/>
    <w:rsid w:val="00AF2CB1"/>
    <w:rsid w:val="00AF2ECA"/>
    <w:rsid w:val="00AF3375"/>
    <w:rsid w:val="00AF46AF"/>
    <w:rsid w:val="00AF5774"/>
    <w:rsid w:val="00AF7080"/>
    <w:rsid w:val="00AF72C1"/>
    <w:rsid w:val="00B0378E"/>
    <w:rsid w:val="00B042FC"/>
    <w:rsid w:val="00B05735"/>
    <w:rsid w:val="00B05893"/>
    <w:rsid w:val="00B05EC1"/>
    <w:rsid w:val="00B06D8A"/>
    <w:rsid w:val="00B11B39"/>
    <w:rsid w:val="00B137DB"/>
    <w:rsid w:val="00B20134"/>
    <w:rsid w:val="00B20A28"/>
    <w:rsid w:val="00B21AE9"/>
    <w:rsid w:val="00B264B3"/>
    <w:rsid w:val="00B30790"/>
    <w:rsid w:val="00B3130E"/>
    <w:rsid w:val="00B31681"/>
    <w:rsid w:val="00B32158"/>
    <w:rsid w:val="00B37FC9"/>
    <w:rsid w:val="00B40409"/>
    <w:rsid w:val="00B4563E"/>
    <w:rsid w:val="00B50DD3"/>
    <w:rsid w:val="00B50F2C"/>
    <w:rsid w:val="00B5156F"/>
    <w:rsid w:val="00B53D3A"/>
    <w:rsid w:val="00B54765"/>
    <w:rsid w:val="00B54FE3"/>
    <w:rsid w:val="00B57DC7"/>
    <w:rsid w:val="00B6136A"/>
    <w:rsid w:val="00B617C3"/>
    <w:rsid w:val="00B63E11"/>
    <w:rsid w:val="00B643A3"/>
    <w:rsid w:val="00B64E4E"/>
    <w:rsid w:val="00B651E1"/>
    <w:rsid w:val="00B6614E"/>
    <w:rsid w:val="00B708F9"/>
    <w:rsid w:val="00B71857"/>
    <w:rsid w:val="00B73867"/>
    <w:rsid w:val="00B74A52"/>
    <w:rsid w:val="00B75D3D"/>
    <w:rsid w:val="00B7670E"/>
    <w:rsid w:val="00B8212D"/>
    <w:rsid w:val="00B8324C"/>
    <w:rsid w:val="00B83CB6"/>
    <w:rsid w:val="00B8552D"/>
    <w:rsid w:val="00B87C9F"/>
    <w:rsid w:val="00B94823"/>
    <w:rsid w:val="00B958D8"/>
    <w:rsid w:val="00BA35DA"/>
    <w:rsid w:val="00BA4535"/>
    <w:rsid w:val="00BA52D7"/>
    <w:rsid w:val="00BB2C7E"/>
    <w:rsid w:val="00BB346B"/>
    <w:rsid w:val="00BB3609"/>
    <w:rsid w:val="00BB439A"/>
    <w:rsid w:val="00BB4EFD"/>
    <w:rsid w:val="00BC160B"/>
    <w:rsid w:val="00BC2209"/>
    <w:rsid w:val="00BD0B17"/>
    <w:rsid w:val="00BD1E92"/>
    <w:rsid w:val="00BD2C4A"/>
    <w:rsid w:val="00BD6B02"/>
    <w:rsid w:val="00BE1220"/>
    <w:rsid w:val="00BE5D28"/>
    <w:rsid w:val="00BE712A"/>
    <w:rsid w:val="00BF0004"/>
    <w:rsid w:val="00BF1671"/>
    <w:rsid w:val="00BF39F2"/>
    <w:rsid w:val="00BF3A8E"/>
    <w:rsid w:val="00BF51D1"/>
    <w:rsid w:val="00C0119A"/>
    <w:rsid w:val="00C02439"/>
    <w:rsid w:val="00C02774"/>
    <w:rsid w:val="00C02DD8"/>
    <w:rsid w:val="00C02DE1"/>
    <w:rsid w:val="00C0315E"/>
    <w:rsid w:val="00C077F5"/>
    <w:rsid w:val="00C10C86"/>
    <w:rsid w:val="00C131B4"/>
    <w:rsid w:val="00C1365B"/>
    <w:rsid w:val="00C14833"/>
    <w:rsid w:val="00C16AEE"/>
    <w:rsid w:val="00C17C37"/>
    <w:rsid w:val="00C21EB8"/>
    <w:rsid w:val="00C229A2"/>
    <w:rsid w:val="00C27690"/>
    <w:rsid w:val="00C324D5"/>
    <w:rsid w:val="00C333BB"/>
    <w:rsid w:val="00C35074"/>
    <w:rsid w:val="00C36D1C"/>
    <w:rsid w:val="00C40ADE"/>
    <w:rsid w:val="00C4154E"/>
    <w:rsid w:val="00C4218E"/>
    <w:rsid w:val="00C443E0"/>
    <w:rsid w:val="00C449E5"/>
    <w:rsid w:val="00C4591E"/>
    <w:rsid w:val="00C47967"/>
    <w:rsid w:val="00C5119D"/>
    <w:rsid w:val="00C53943"/>
    <w:rsid w:val="00C56621"/>
    <w:rsid w:val="00C57DF9"/>
    <w:rsid w:val="00C61B89"/>
    <w:rsid w:val="00C639F7"/>
    <w:rsid w:val="00C640FC"/>
    <w:rsid w:val="00C6555D"/>
    <w:rsid w:val="00C671D6"/>
    <w:rsid w:val="00C67EAF"/>
    <w:rsid w:val="00C72EBD"/>
    <w:rsid w:val="00C74693"/>
    <w:rsid w:val="00C7714A"/>
    <w:rsid w:val="00C84AA7"/>
    <w:rsid w:val="00C868D5"/>
    <w:rsid w:val="00C9019C"/>
    <w:rsid w:val="00C91231"/>
    <w:rsid w:val="00C93EAF"/>
    <w:rsid w:val="00C9541F"/>
    <w:rsid w:val="00C961E4"/>
    <w:rsid w:val="00C972A0"/>
    <w:rsid w:val="00C975A2"/>
    <w:rsid w:val="00CA0CE4"/>
    <w:rsid w:val="00CA13CD"/>
    <w:rsid w:val="00CA14F4"/>
    <w:rsid w:val="00CA232B"/>
    <w:rsid w:val="00CA3D87"/>
    <w:rsid w:val="00CA538D"/>
    <w:rsid w:val="00CA54D1"/>
    <w:rsid w:val="00CA78AA"/>
    <w:rsid w:val="00CB67BB"/>
    <w:rsid w:val="00CB7332"/>
    <w:rsid w:val="00CC011F"/>
    <w:rsid w:val="00CC1287"/>
    <w:rsid w:val="00CC23B6"/>
    <w:rsid w:val="00CC298B"/>
    <w:rsid w:val="00CC3D05"/>
    <w:rsid w:val="00CC4DE1"/>
    <w:rsid w:val="00CC63C4"/>
    <w:rsid w:val="00CC7338"/>
    <w:rsid w:val="00CD2605"/>
    <w:rsid w:val="00CD3777"/>
    <w:rsid w:val="00CD68A7"/>
    <w:rsid w:val="00CD6CE4"/>
    <w:rsid w:val="00CE00A9"/>
    <w:rsid w:val="00CE0D0C"/>
    <w:rsid w:val="00CE107E"/>
    <w:rsid w:val="00CE175D"/>
    <w:rsid w:val="00CE1C14"/>
    <w:rsid w:val="00CE30F0"/>
    <w:rsid w:val="00CE4393"/>
    <w:rsid w:val="00CE48A1"/>
    <w:rsid w:val="00CE4BD9"/>
    <w:rsid w:val="00CE588A"/>
    <w:rsid w:val="00CE6469"/>
    <w:rsid w:val="00CF1692"/>
    <w:rsid w:val="00CF2201"/>
    <w:rsid w:val="00CF3D11"/>
    <w:rsid w:val="00CF49AC"/>
    <w:rsid w:val="00D0169A"/>
    <w:rsid w:val="00D03825"/>
    <w:rsid w:val="00D03EC4"/>
    <w:rsid w:val="00D0561B"/>
    <w:rsid w:val="00D16EDA"/>
    <w:rsid w:val="00D20F2D"/>
    <w:rsid w:val="00D212A3"/>
    <w:rsid w:val="00D21744"/>
    <w:rsid w:val="00D239F0"/>
    <w:rsid w:val="00D247ED"/>
    <w:rsid w:val="00D30F4D"/>
    <w:rsid w:val="00D35E0C"/>
    <w:rsid w:val="00D3791C"/>
    <w:rsid w:val="00D41A03"/>
    <w:rsid w:val="00D425AD"/>
    <w:rsid w:val="00D446A4"/>
    <w:rsid w:val="00D457F0"/>
    <w:rsid w:val="00D45BFE"/>
    <w:rsid w:val="00D46220"/>
    <w:rsid w:val="00D46CF3"/>
    <w:rsid w:val="00D5133A"/>
    <w:rsid w:val="00D51D48"/>
    <w:rsid w:val="00D541FF"/>
    <w:rsid w:val="00D54F30"/>
    <w:rsid w:val="00D5506D"/>
    <w:rsid w:val="00D56261"/>
    <w:rsid w:val="00D56469"/>
    <w:rsid w:val="00D57AB0"/>
    <w:rsid w:val="00D612B7"/>
    <w:rsid w:val="00D656A6"/>
    <w:rsid w:val="00D70F57"/>
    <w:rsid w:val="00D71C51"/>
    <w:rsid w:val="00D747F6"/>
    <w:rsid w:val="00D75CA3"/>
    <w:rsid w:val="00D76299"/>
    <w:rsid w:val="00D80B8C"/>
    <w:rsid w:val="00D80CEE"/>
    <w:rsid w:val="00D812A1"/>
    <w:rsid w:val="00D81B4F"/>
    <w:rsid w:val="00D82CBF"/>
    <w:rsid w:val="00D8384D"/>
    <w:rsid w:val="00D84748"/>
    <w:rsid w:val="00D84E84"/>
    <w:rsid w:val="00D872DE"/>
    <w:rsid w:val="00D90777"/>
    <w:rsid w:val="00D92080"/>
    <w:rsid w:val="00D943A4"/>
    <w:rsid w:val="00DA1FB6"/>
    <w:rsid w:val="00DA5898"/>
    <w:rsid w:val="00DA59D5"/>
    <w:rsid w:val="00DB1A54"/>
    <w:rsid w:val="00DB2B54"/>
    <w:rsid w:val="00DB4828"/>
    <w:rsid w:val="00DB55E0"/>
    <w:rsid w:val="00DB60E5"/>
    <w:rsid w:val="00DC0069"/>
    <w:rsid w:val="00DC5545"/>
    <w:rsid w:val="00DC5B1D"/>
    <w:rsid w:val="00DC77AE"/>
    <w:rsid w:val="00DD05E4"/>
    <w:rsid w:val="00DD1622"/>
    <w:rsid w:val="00DD2649"/>
    <w:rsid w:val="00DD4266"/>
    <w:rsid w:val="00DD5D8A"/>
    <w:rsid w:val="00DD638D"/>
    <w:rsid w:val="00DD63C4"/>
    <w:rsid w:val="00DD7C05"/>
    <w:rsid w:val="00DD7D12"/>
    <w:rsid w:val="00DE152E"/>
    <w:rsid w:val="00DE5885"/>
    <w:rsid w:val="00DF1BCB"/>
    <w:rsid w:val="00DF20A4"/>
    <w:rsid w:val="00E00E9B"/>
    <w:rsid w:val="00E13417"/>
    <w:rsid w:val="00E14BC1"/>
    <w:rsid w:val="00E1553A"/>
    <w:rsid w:val="00E1591F"/>
    <w:rsid w:val="00E167FC"/>
    <w:rsid w:val="00E23700"/>
    <w:rsid w:val="00E23D25"/>
    <w:rsid w:val="00E32EA6"/>
    <w:rsid w:val="00E33A2A"/>
    <w:rsid w:val="00E35C19"/>
    <w:rsid w:val="00E37D1C"/>
    <w:rsid w:val="00E47290"/>
    <w:rsid w:val="00E51485"/>
    <w:rsid w:val="00E52D77"/>
    <w:rsid w:val="00E53561"/>
    <w:rsid w:val="00E54FB2"/>
    <w:rsid w:val="00E57D89"/>
    <w:rsid w:val="00E57D8B"/>
    <w:rsid w:val="00E60D00"/>
    <w:rsid w:val="00E632B9"/>
    <w:rsid w:val="00E71B91"/>
    <w:rsid w:val="00E72943"/>
    <w:rsid w:val="00E74ECD"/>
    <w:rsid w:val="00E74FE9"/>
    <w:rsid w:val="00E76208"/>
    <w:rsid w:val="00E771BD"/>
    <w:rsid w:val="00E77329"/>
    <w:rsid w:val="00E77F59"/>
    <w:rsid w:val="00E803BD"/>
    <w:rsid w:val="00E82E8D"/>
    <w:rsid w:val="00E82E9C"/>
    <w:rsid w:val="00E84A0D"/>
    <w:rsid w:val="00E85D40"/>
    <w:rsid w:val="00E87A8C"/>
    <w:rsid w:val="00E92D7F"/>
    <w:rsid w:val="00E952CC"/>
    <w:rsid w:val="00EA4EED"/>
    <w:rsid w:val="00EA59B2"/>
    <w:rsid w:val="00EA6C2F"/>
    <w:rsid w:val="00EA7A66"/>
    <w:rsid w:val="00EA7F22"/>
    <w:rsid w:val="00EB1466"/>
    <w:rsid w:val="00EB1853"/>
    <w:rsid w:val="00EB33B6"/>
    <w:rsid w:val="00EB41C8"/>
    <w:rsid w:val="00EB483E"/>
    <w:rsid w:val="00EB5873"/>
    <w:rsid w:val="00EB5B18"/>
    <w:rsid w:val="00EC1976"/>
    <w:rsid w:val="00EC20B4"/>
    <w:rsid w:val="00EC3B6D"/>
    <w:rsid w:val="00EC4E1B"/>
    <w:rsid w:val="00EC7395"/>
    <w:rsid w:val="00ED0C69"/>
    <w:rsid w:val="00ED2122"/>
    <w:rsid w:val="00ED2E95"/>
    <w:rsid w:val="00ED5F8E"/>
    <w:rsid w:val="00ED61AE"/>
    <w:rsid w:val="00ED741C"/>
    <w:rsid w:val="00ED7E11"/>
    <w:rsid w:val="00EE402E"/>
    <w:rsid w:val="00EE4B02"/>
    <w:rsid w:val="00EE5F30"/>
    <w:rsid w:val="00EF4838"/>
    <w:rsid w:val="00EF72BA"/>
    <w:rsid w:val="00F01710"/>
    <w:rsid w:val="00F02F0C"/>
    <w:rsid w:val="00F03D39"/>
    <w:rsid w:val="00F0537A"/>
    <w:rsid w:val="00F07C74"/>
    <w:rsid w:val="00F1123E"/>
    <w:rsid w:val="00F11FA2"/>
    <w:rsid w:val="00F12BBA"/>
    <w:rsid w:val="00F12C9A"/>
    <w:rsid w:val="00F14484"/>
    <w:rsid w:val="00F15508"/>
    <w:rsid w:val="00F156B6"/>
    <w:rsid w:val="00F15FFF"/>
    <w:rsid w:val="00F20C70"/>
    <w:rsid w:val="00F22F55"/>
    <w:rsid w:val="00F24A59"/>
    <w:rsid w:val="00F279C4"/>
    <w:rsid w:val="00F31592"/>
    <w:rsid w:val="00F339F9"/>
    <w:rsid w:val="00F36B67"/>
    <w:rsid w:val="00F36C8B"/>
    <w:rsid w:val="00F43E6C"/>
    <w:rsid w:val="00F449A6"/>
    <w:rsid w:val="00F46C6C"/>
    <w:rsid w:val="00F47F0E"/>
    <w:rsid w:val="00F50071"/>
    <w:rsid w:val="00F50E1E"/>
    <w:rsid w:val="00F5132C"/>
    <w:rsid w:val="00F51D36"/>
    <w:rsid w:val="00F605A7"/>
    <w:rsid w:val="00F611AC"/>
    <w:rsid w:val="00F64F8A"/>
    <w:rsid w:val="00F65B95"/>
    <w:rsid w:val="00F678FF"/>
    <w:rsid w:val="00F720DC"/>
    <w:rsid w:val="00F7446B"/>
    <w:rsid w:val="00F766D0"/>
    <w:rsid w:val="00F77B1D"/>
    <w:rsid w:val="00F77BBB"/>
    <w:rsid w:val="00F8043B"/>
    <w:rsid w:val="00F8072D"/>
    <w:rsid w:val="00F81D49"/>
    <w:rsid w:val="00F81E5F"/>
    <w:rsid w:val="00F83C77"/>
    <w:rsid w:val="00F87D23"/>
    <w:rsid w:val="00F87F0E"/>
    <w:rsid w:val="00F906D6"/>
    <w:rsid w:val="00F93162"/>
    <w:rsid w:val="00F937ED"/>
    <w:rsid w:val="00F94599"/>
    <w:rsid w:val="00FA0AEF"/>
    <w:rsid w:val="00FA397F"/>
    <w:rsid w:val="00FA4AD6"/>
    <w:rsid w:val="00FA6E00"/>
    <w:rsid w:val="00FA727B"/>
    <w:rsid w:val="00FA7B46"/>
    <w:rsid w:val="00FB244B"/>
    <w:rsid w:val="00FB24D7"/>
    <w:rsid w:val="00FB2A5E"/>
    <w:rsid w:val="00FB5117"/>
    <w:rsid w:val="00FB6AC9"/>
    <w:rsid w:val="00FC033E"/>
    <w:rsid w:val="00FC0AF2"/>
    <w:rsid w:val="00FC1423"/>
    <w:rsid w:val="00FC1BF6"/>
    <w:rsid w:val="00FC2D60"/>
    <w:rsid w:val="00FC705C"/>
    <w:rsid w:val="00FC70E5"/>
    <w:rsid w:val="00FC7606"/>
    <w:rsid w:val="00FD2C9E"/>
    <w:rsid w:val="00FD5465"/>
    <w:rsid w:val="00FE38D7"/>
    <w:rsid w:val="00FE4187"/>
    <w:rsid w:val="00FE4384"/>
    <w:rsid w:val="00FE6130"/>
    <w:rsid w:val="00FF552D"/>
    <w:rsid w:val="01D97AAF"/>
    <w:rsid w:val="022C068F"/>
    <w:rsid w:val="02BD61B9"/>
    <w:rsid w:val="031C4A2A"/>
    <w:rsid w:val="03750341"/>
    <w:rsid w:val="03AA565B"/>
    <w:rsid w:val="03E00F45"/>
    <w:rsid w:val="03E85B1A"/>
    <w:rsid w:val="04827592"/>
    <w:rsid w:val="04D80E21"/>
    <w:rsid w:val="05073FA4"/>
    <w:rsid w:val="05E42F05"/>
    <w:rsid w:val="061D1DD1"/>
    <w:rsid w:val="07434AAF"/>
    <w:rsid w:val="078E142C"/>
    <w:rsid w:val="082B7A8D"/>
    <w:rsid w:val="082F754A"/>
    <w:rsid w:val="086F4E08"/>
    <w:rsid w:val="08AB7F52"/>
    <w:rsid w:val="09CD6E24"/>
    <w:rsid w:val="0A057A4C"/>
    <w:rsid w:val="0A61424B"/>
    <w:rsid w:val="0A626899"/>
    <w:rsid w:val="0B440CCC"/>
    <w:rsid w:val="0BAC399C"/>
    <w:rsid w:val="0BB9038D"/>
    <w:rsid w:val="0BCD3CD6"/>
    <w:rsid w:val="0C8A0D92"/>
    <w:rsid w:val="0C9D3A9E"/>
    <w:rsid w:val="0CC408DB"/>
    <w:rsid w:val="0D671FA3"/>
    <w:rsid w:val="0D932422"/>
    <w:rsid w:val="0D9E0519"/>
    <w:rsid w:val="0E307391"/>
    <w:rsid w:val="0E7D5D02"/>
    <w:rsid w:val="0ED433B8"/>
    <w:rsid w:val="0F1D1947"/>
    <w:rsid w:val="0FD72F07"/>
    <w:rsid w:val="0FE653FD"/>
    <w:rsid w:val="1101241B"/>
    <w:rsid w:val="11C377B8"/>
    <w:rsid w:val="12AC6C80"/>
    <w:rsid w:val="130F75E7"/>
    <w:rsid w:val="13696891"/>
    <w:rsid w:val="13B166BF"/>
    <w:rsid w:val="1402277C"/>
    <w:rsid w:val="142E7C6E"/>
    <w:rsid w:val="14434585"/>
    <w:rsid w:val="14D42F45"/>
    <w:rsid w:val="155C6A7E"/>
    <w:rsid w:val="15C541A6"/>
    <w:rsid w:val="15DB4D65"/>
    <w:rsid w:val="16090376"/>
    <w:rsid w:val="166A12F5"/>
    <w:rsid w:val="169F0AA8"/>
    <w:rsid w:val="16B12CA2"/>
    <w:rsid w:val="1707102E"/>
    <w:rsid w:val="17F966CE"/>
    <w:rsid w:val="18D03CA8"/>
    <w:rsid w:val="197304AA"/>
    <w:rsid w:val="19DE0AEA"/>
    <w:rsid w:val="19FA0160"/>
    <w:rsid w:val="1A3F016B"/>
    <w:rsid w:val="1A48295D"/>
    <w:rsid w:val="1AA039A3"/>
    <w:rsid w:val="1B6560C6"/>
    <w:rsid w:val="1BB509D9"/>
    <w:rsid w:val="1BFB0846"/>
    <w:rsid w:val="1C5D023A"/>
    <w:rsid w:val="1CD04CB1"/>
    <w:rsid w:val="1CDC3A0F"/>
    <w:rsid w:val="1CF97764"/>
    <w:rsid w:val="1D0336B3"/>
    <w:rsid w:val="1D19112A"/>
    <w:rsid w:val="1D85382D"/>
    <w:rsid w:val="1DB86ED6"/>
    <w:rsid w:val="1DDF7A0E"/>
    <w:rsid w:val="1E3F5265"/>
    <w:rsid w:val="1E554697"/>
    <w:rsid w:val="1F7230F8"/>
    <w:rsid w:val="1FB61BC0"/>
    <w:rsid w:val="1FFB387F"/>
    <w:rsid w:val="20202870"/>
    <w:rsid w:val="20390053"/>
    <w:rsid w:val="20AD2075"/>
    <w:rsid w:val="20D305C8"/>
    <w:rsid w:val="21A43CC8"/>
    <w:rsid w:val="226E0608"/>
    <w:rsid w:val="229D7C44"/>
    <w:rsid w:val="22C9343D"/>
    <w:rsid w:val="23215347"/>
    <w:rsid w:val="23631ADC"/>
    <w:rsid w:val="23FD6395"/>
    <w:rsid w:val="24FA424B"/>
    <w:rsid w:val="253318FC"/>
    <w:rsid w:val="259D6040"/>
    <w:rsid w:val="25AE018D"/>
    <w:rsid w:val="25EA3FB4"/>
    <w:rsid w:val="25F836A7"/>
    <w:rsid w:val="265A5F4B"/>
    <w:rsid w:val="26613357"/>
    <w:rsid w:val="26DE25C0"/>
    <w:rsid w:val="27563C8F"/>
    <w:rsid w:val="27FD4461"/>
    <w:rsid w:val="28C20573"/>
    <w:rsid w:val="28F92BE2"/>
    <w:rsid w:val="29383151"/>
    <w:rsid w:val="294631C6"/>
    <w:rsid w:val="29496617"/>
    <w:rsid w:val="29DE5C4D"/>
    <w:rsid w:val="2A2C25FA"/>
    <w:rsid w:val="2A673E21"/>
    <w:rsid w:val="2A806941"/>
    <w:rsid w:val="2AE3625D"/>
    <w:rsid w:val="2C96065F"/>
    <w:rsid w:val="2CCB74CA"/>
    <w:rsid w:val="2D4650ED"/>
    <w:rsid w:val="2D7A5D6F"/>
    <w:rsid w:val="2DC14A03"/>
    <w:rsid w:val="2E597936"/>
    <w:rsid w:val="2E8D001A"/>
    <w:rsid w:val="2EA86084"/>
    <w:rsid w:val="3031248E"/>
    <w:rsid w:val="30727A32"/>
    <w:rsid w:val="30885360"/>
    <w:rsid w:val="30AC7E7F"/>
    <w:rsid w:val="30CD7F41"/>
    <w:rsid w:val="30DC1B02"/>
    <w:rsid w:val="3183579A"/>
    <w:rsid w:val="31924A97"/>
    <w:rsid w:val="31D300B5"/>
    <w:rsid w:val="32533405"/>
    <w:rsid w:val="326E028D"/>
    <w:rsid w:val="32AA7562"/>
    <w:rsid w:val="32F85ACC"/>
    <w:rsid w:val="32FD4785"/>
    <w:rsid w:val="33021EE6"/>
    <w:rsid w:val="3402780A"/>
    <w:rsid w:val="34843BD7"/>
    <w:rsid w:val="34D7303F"/>
    <w:rsid w:val="34DD006E"/>
    <w:rsid w:val="354D5F20"/>
    <w:rsid w:val="357732D7"/>
    <w:rsid w:val="357A34E3"/>
    <w:rsid w:val="359A6C52"/>
    <w:rsid w:val="36073D0D"/>
    <w:rsid w:val="367A62AE"/>
    <w:rsid w:val="368D6F69"/>
    <w:rsid w:val="38B102B6"/>
    <w:rsid w:val="38B50A82"/>
    <w:rsid w:val="38EE76F6"/>
    <w:rsid w:val="399371C1"/>
    <w:rsid w:val="39D03D53"/>
    <w:rsid w:val="39DC32B1"/>
    <w:rsid w:val="3A5B5D7C"/>
    <w:rsid w:val="3ADB18C3"/>
    <w:rsid w:val="3ADC05B9"/>
    <w:rsid w:val="3B6C60E4"/>
    <w:rsid w:val="3B7E6275"/>
    <w:rsid w:val="3B7F510C"/>
    <w:rsid w:val="3BCE40CC"/>
    <w:rsid w:val="3CE47582"/>
    <w:rsid w:val="3D433F4F"/>
    <w:rsid w:val="3D5B0105"/>
    <w:rsid w:val="3DBC0606"/>
    <w:rsid w:val="3DC37B25"/>
    <w:rsid w:val="3DC965B4"/>
    <w:rsid w:val="3DD23407"/>
    <w:rsid w:val="3DF821F8"/>
    <w:rsid w:val="3EAE72FC"/>
    <w:rsid w:val="3F121D03"/>
    <w:rsid w:val="3F233AD0"/>
    <w:rsid w:val="3F3163A2"/>
    <w:rsid w:val="3F332D69"/>
    <w:rsid w:val="3FA5375F"/>
    <w:rsid w:val="3FE6960B"/>
    <w:rsid w:val="3FE8523A"/>
    <w:rsid w:val="40646988"/>
    <w:rsid w:val="40E22F35"/>
    <w:rsid w:val="40E82240"/>
    <w:rsid w:val="4162446F"/>
    <w:rsid w:val="416374B7"/>
    <w:rsid w:val="41752008"/>
    <w:rsid w:val="41AF4196"/>
    <w:rsid w:val="41DE4D5C"/>
    <w:rsid w:val="43085803"/>
    <w:rsid w:val="43846D18"/>
    <w:rsid w:val="43AD3092"/>
    <w:rsid w:val="43E70521"/>
    <w:rsid w:val="440E5163"/>
    <w:rsid w:val="447C55BD"/>
    <w:rsid w:val="4502086D"/>
    <w:rsid w:val="452A23ED"/>
    <w:rsid w:val="454E3077"/>
    <w:rsid w:val="454F465A"/>
    <w:rsid w:val="4571414E"/>
    <w:rsid w:val="45DD3D1D"/>
    <w:rsid w:val="46436183"/>
    <w:rsid w:val="468A6979"/>
    <w:rsid w:val="479064E8"/>
    <w:rsid w:val="479C47A0"/>
    <w:rsid w:val="481A7B3E"/>
    <w:rsid w:val="4862631D"/>
    <w:rsid w:val="489D504F"/>
    <w:rsid w:val="490A42ED"/>
    <w:rsid w:val="4AB150F1"/>
    <w:rsid w:val="4B654551"/>
    <w:rsid w:val="4BD84EF6"/>
    <w:rsid w:val="4C521076"/>
    <w:rsid w:val="4D0B20AB"/>
    <w:rsid w:val="4D544A09"/>
    <w:rsid w:val="4D8A3707"/>
    <w:rsid w:val="4E1A66A1"/>
    <w:rsid w:val="4E2D649B"/>
    <w:rsid w:val="4E820698"/>
    <w:rsid w:val="4EBA319C"/>
    <w:rsid w:val="4F082385"/>
    <w:rsid w:val="4F7C3B29"/>
    <w:rsid w:val="4F9A7228"/>
    <w:rsid w:val="4FC027C1"/>
    <w:rsid w:val="50EE7439"/>
    <w:rsid w:val="511304D4"/>
    <w:rsid w:val="51DD3E96"/>
    <w:rsid w:val="53487116"/>
    <w:rsid w:val="534B085F"/>
    <w:rsid w:val="53B8191C"/>
    <w:rsid w:val="53C96D05"/>
    <w:rsid w:val="54032407"/>
    <w:rsid w:val="55735DDC"/>
    <w:rsid w:val="55B64CE6"/>
    <w:rsid w:val="55EF343C"/>
    <w:rsid w:val="56D01313"/>
    <w:rsid w:val="56D46540"/>
    <w:rsid w:val="575416E2"/>
    <w:rsid w:val="57837FA2"/>
    <w:rsid w:val="57897902"/>
    <w:rsid w:val="57B9146B"/>
    <w:rsid w:val="57D312D8"/>
    <w:rsid w:val="57E51498"/>
    <w:rsid w:val="58412550"/>
    <w:rsid w:val="58805BF0"/>
    <w:rsid w:val="58B412AD"/>
    <w:rsid w:val="5A505834"/>
    <w:rsid w:val="5A7A3649"/>
    <w:rsid w:val="5AAA3F0F"/>
    <w:rsid w:val="5B10709F"/>
    <w:rsid w:val="5B45305D"/>
    <w:rsid w:val="5B7773AC"/>
    <w:rsid w:val="5B904D33"/>
    <w:rsid w:val="5BF15442"/>
    <w:rsid w:val="5C2221CB"/>
    <w:rsid w:val="5C464D43"/>
    <w:rsid w:val="5C5A4752"/>
    <w:rsid w:val="5CF77660"/>
    <w:rsid w:val="5E3A3086"/>
    <w:rsid w:val="5E4D27A2"/>
    <w:rsid w:val="5E575385"/>
    <w:rsid w:val="5E69103C"/>
    <w:rsid w:val="5EB508E2"/>
    <w:rsid w:val="5F101BF8"/>
    <w:rsid w:val="5F1C3A68"/>
    <w:rsid w:val="5F8530C1"/>
    <w:rsid w:val="5FA43C21"/>
    <w:rsid w:val="5FC21A17"/>
    <w:rsid w:val="6014165A"/>
    <w:rsid w:val="60C34CEB"/>
    <w:rsid w:val="61451719"/>
    <w:rsid w:val="61572FB1"/>
    <w:rsid w:val="618C53DC"/>
    <w:rsid w:val="61D06900"/>
    <w:rsid w:val="61F76D8B"/>
    <w:rsid w:val="621C7AF8"/>
    <w:rsid w:val="62947148"/>
    <w:rsid w:val="62FA48A0"/>
    <w:rsid w:val="63307754"/>
    <w:rsid w:val="63707BFA"/>
    <w:rsid w:val="63EB234D"/>
    <w:rsid w:val="64325B47"/>
    <w:rsid w:val="64333931"/>
    <w:rsid w:val="64744478"/>
    <w:rsid w:val="64C77D40"/>
    <w:rsid w:val="65044762"/>
    <w:rsid w:val="657478F3"/>
    <w:rsid w:val="65AC3122"/>
    <w:rsid w:val="65D8433F"/>
    <w:rsid w:val="6613127A"/>
    <w:rsid w:val="66675650"/>
    <w:rsid w:val="66707909"/>
    <w:rsid w:val="66A50159"/>
    <w:rsid w:val="670212DA"/>
    <w:rsid w:val="676078F6"/>
    <w:rsid w:val="678A4D32"/>
    <w:rsid w:val="678E6F62"/>
    <w:rsid w:val="67D47886"/>
    <w:rsid w:val="67F00368"/>
    <w:rsid w:val="68445FF3"/>
    <w:rsid w:val="69121E3D"/>
    <w:rsid w:val="69B54D89"/>
    <w:rsid w:val="6A393762"/>
    <w:rsid w:val="6A73145A"/>
    <w:rsid w:val="6B1F1F38"/>
    <w:rsid w:val="6CCD3838"/>
    <w:rsid w:val="6D52636D"/>
    <w:rsid w:val="6D6F2095"/>
    <w:rsid w:val="6D8417D7"/>
    <w:rsid w:val="6E937ECD"/>
    <w:rsid w:val="6F3050B4"/>
    <w:rsid w:val="6F894E7C"/>
    <w:rsid w:val="6F946372"/>
    <w:rsid w:val="70364F32"/>
    <w:rsid w:val="70842660"/>
    <w:rsid w:val="71BB2E97"/>
    <w:rsid w:val="71C12A50"/>
    <w:rsid w:val="71E66E54"/>
    <w:rsid w:val="72120C1C"/>
    <w:rsid w:val="721F75A1"/>
    <w:rsid w:val="725C0400"/>
    <w:rsid w:val="725E7CFA"/>
    <w:rsid w:val="7301120D"/>
    <w:rsid w:val="73114125"/>
    <w:rsid w:val="73404EDF"/>
    <w:rsid w:val="73457111"/>
    <w:rsid w:val="7371692A"/>
    <w:rsid w:val="73D15482"/>
    <w:rsid w:val="73F65CD7"/>
    <w:rsid w:val="74347533"/>
    <w:rsid w:val="745B49E1"/>
    <w:rsid w:val="747C070B"/>
    <w:rsid w:val="74FE0818"/>
    <w:rsid w:val="75A44C0C"/>
    <w:rsid w:val="75AA5D4A"/>
    <w:rsid w:val="75B5548C"/>
    <w:rsid w:val="75BC3CD7"/>
    <w:rsid w:val="761834A6"/>
    <w:rsid w:val="762D113A"/>
    <w:rsid w:val="76F85DD0"/>
    <w:rsid w:val="77D7444D"/>
    <w:rsid w:val="77EA5BEC"/>
    <w:rsid w:val="78275835"/>
    <w:rsid w:val="78E12247"/>
    <w:rsid w:val="7A605A86"/>
    <w:rsid w:val="7A651A20"/>
    <w:rsid w:val="7AC17892"/>
    <w:rsid w:val="7B841343"/>
    <w:rsid w:val="7C075304"/>
    <w:rsid w:val="7C18200D"/>
    <w:rsid w:val="7C6671C3"/>
    <w:rsid w:val="7D007AF6"/>
    <w:rsid w:val="7D1103F9"/>
    <w:rsid w:val="7D5701C3"/>
    <w:rsid w:val="7D621960"/>
    <w:rsid w:val="7D626E39"/>
    <w:rsid w:val="7D6A6AE9"/>
    <w:rsid w:val="7DA9007F"/>
    <w:rsid w:val="7E413B6B"/>
    <w:rsid w:val="7E5627AF"/>
    <w:rsid w:val="7E5629E0"/>
    <w:rsid w:val="7E871E71"/>
    <w:rsid w:val="7EC82FD5"/>
    <w:rsid w:val="7F2E1832"/>
    <w:rsid w:val="7F380B65"/>
    <w:rsid w:val="7FE17236"/>
    <w:rsid w:val="F6DA5C7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tLeast"/>
      <w:jc w:val="both"/>
    </w:pPr>
    <w:rPr>
      <w:rFonts w:ascii="仿宋_GB2312" w:hAnsi="仿宋_GB2312" w:eastAsia="仿宋_GB2312" w:cs="Times New Roman"/>
      <w:kern w:val="2"/>
      <w:sz w:val="32"/>
      <w:lang w:val="en-US" w:eastAsia="zh-CN" w:bidi="ar-SA"/>
    </w:rPr>
  </w:style>
  <w:style w:type="paragraph" w:styleId="3">
    <w:name w:val="heading 1"/>
    <w:basedOn w:val="1"/>
    <w:next w:val="1"/>
    <w:link w:val="28"/>
    <w:qFormat/>
    <w:uiPriority w:val="9"/>
    <w:pPr>
      <w:keepNext/>
      <w:keepLines/>
      <w:spacing w:line="240" w:lineRule="auto"/>
      <w:jc w:val="center"/>
      <w:outlineLvl w:val="0"/>
    </w:pPr>
    <w:rPr>
      <w:rFonts w:ascii="Times New Roman" w:hAnsi="Times New Roman" w:eastAsia="宋体"/>
      <w:b/>
      <w:bCs/>
      <w:kern w:val="44"/>
      <w:sz w:val="30"/>
      <w:szCs w:val="44"/>
    </w:rPr>
  </w:style>
  <w:style w:type="paragraph" w:styleId="4">
    <w:name w:val="heading 2"/>
    <w:basedOn w:val="1"/>
    <w:next w:val="1"/>
    <w:link w:val="33"/>
    <w:qFormat/>
    <w:uiPriority w:val="9"/>
    <w:pPr>
      <w:keepNext/>
      <w:keepLines/>
      <w:spacing w:before="260" w:after="260" w:line="416" w:lineRule="atLeast"/>
      <w:outlineLvl w:val="1"/>
    </w:pPr>
    <w:rPr>
      <w:rFonts w:ascii="等线 Light" w:hAnsi="等线 Light" w:eastAsia="等线 Light"/>
      <w:b/>
      <w:bCs/>
      <w:szCs w:val="32"/>
    </w:rPr>
  </w:style>
  <w:style w:type="paragraph" w:styleId="5">
    <w:name w:val="heading 4"/>
    <w:basedOn w:val="1"/>
    <w:next w:val="1"/>
    <w:link w:val="30"/>
    <w:qFormat/>
    <w:uiPriority w:val="9"/>
    <w:pPr>
      <w:keepNext/>
      <w:keepLines/>
      <w:spacing w:before="280" w:after="290" w:line="376" w:lineRule="atLeast"/>
      <w:outlineLvl w:val="3"/>
    </w:pPr>
    <w:rPr>
      <w:rFonts w:ascii="等线 Light" w:hAnsi="等线 Light" w:eastAsia="等线 Light"/>
      <w:b/>
      <w:bCs/>
      <w:sz w:val="28"/>
      <w:szCs w:val="28"/>
    </w:rPr>
  </w:style>
  <w:style w:type="character" w:default="1" w:styleId="17">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2">
    <w:name w:val="Body Text"/>
    <w:basedOn w:val="1"/>
    <w:link w:val="32"/>
    <w:unhideWhenUsed/>
    <w:qFormat/>
    <w:uiPriority w:val="99"/>
    <w:pPr>
      <w:spacing w:after="120"/>
    </w:pPr>
  </w:style>
  <w:style w:type="paragraph" w:styleId="6">
    <w:name w:val="Normal Indent"/>
    <w:basedOn w:val="1"/>
    <w:unhideWhenUsed/>
    <w:qFormat/>
    <w:uiPriority w:val="99"/>
    <w:pPr>
      <w:spacing w:line="240" w:lineRule="auto"/>
      <w:ind w:firstLine="420"/>
    </w:pPr>
    <w:rPr>
      <w:rFonts w:ascii="Calibri" w:hAnsi="Calibri" w:eastAsia="宋体"/>
      <w:sz w:val="21"/>
      <w:szCs w:val="21"/>
    </w:rPr>
  </w:style>
  <w:style w:type="paragraph" w:styleId="7">
    <w:name w:val="index 5"/>
    <w:basedOn w:val="1"/>
    <w:next w:val="1"/>
    <w:qFormat/>
    <w:uiPriority w:val="0"/>
    <w:pPr>
      <w:ind w:left="1680"/>
    </w:pPr>
  </w:style>
  <w:style w:type="paragraph" w:styleId="8">
    <w:name w:val="annotation text"/>
    <w:basedOn w:val="1"/>
    <w:link w:val="34"/>
    <w:qFormat/>
    <w:uiPriority w:val="0"/>
    <w:pPr>
      <w:spacing w:line="240" w:lineRule="auto"/>
      <w:jc w:val="left"/>
    </w:pPr>
    <w:rPr>
      <w:rFonts w:ascii="Times New Roman" w:hAnsi="Times New Roman"/>
      <w:szCs w:val="24"/>
    </w:rPr>
  </w:style>
  <w:style w:type="paragraph" w:styleId="9">
    <w:name w:val="Body Text Indent 2"/>
    <w:basedOn w:val="1"/>
    <w:link w:val="26"/>
    <w:qFormat/>
    <w:uiPriority w:val="0"/>
    <w:pPr>
      <w:spacing w:line="300" w:lineRule="auto"/>
      <w:ind w:firstLine="640" w:firstLineChars="200"/>
    </w:pPr>
    <w:rPr>
      <w:rFonts w:ascii="Times New Roman" w:hAnsi="Times New Roman" w:eastAsia="方正仿宋_GBK"/>
      <w:szCs w:val="32"/>
    </w:rPr>
  </w:style>
  <w:style w:type="paragraph" w:styleId="10">
    <w:name w:val="Balloon Text"/>
    <w:basedOn w:val="1"/>
    <w:link w:val="27"/>
    <w:unhideWhenUsed/>
    <w:qFormat/>
    <w:uiPriority w:val="99"/>
    <w:pPr>
      <w:spacing w:line="240" w:lineRule="auto"/>
    </w:pPr>
    <w:rPr>
      <w:sz w:val="18"/>
      <w:szCs w:val="18"/>
    </w:rPr>
  </w:style>
  <w:style w:type="paragraph" w:styleId="11">
    <w:name w:val="footer"/>
    <w:basedOn w:val="1"/>
    <w:next w:val="7"/>
    <w:link w:val="24"/>
    <w:qFormat/>
    <w:uiPriority w:val="99"/>
    <w:pPr>
      <w:tabs>
        <w:tab w:val="center" w:pos="4153"/>
        <w:tab w:val="right" w:pos="8306"/>
      </w:tabs>
      <w:snapToGrid w:val="0"/>
      <w:jc w:val="left"/>
    </w:pPr>
    <w:rPr>
      <w:sz w:val="18"/>
    </w:rPr>
  </w:style>
  <w:style w:type="paragraph" w:styleId="12">
    <w:name w:val="header"/>
    <w:basedOn w:val="1"/>
    <w:link w:val="2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rFonts w:ascii="Times New Roman" w:hAnsi="Times New Roman"/>
      <w:sz w:val="18"/>
    </w:rPr>
  </w:style>
  <w:style w:type="paragraph" w:styleId="13">
    <w:name w:val="toc 1"/>
    <w:basedOn w:val="1"/>
    <w:next w:val="1"/>
    <w:unhideWhenUsed/>
    <w:qFormat/>
    <w:uiPriority w:val="39"/>
    <w:pPr>
      <w:spacing w:line="360" w:lineRule="auto"/>
      <w:ind w:firstLine="200" w:firstLineChars="200"/>
    </w:pPr>
    <w:rPr>
      <w:rFonts w:ascii="Times New Roman" w:hAnsi="Times New Roman"/>
      <w:b/>
      <w:sz w:val="30"/>
      <w:szCs w:val="21"/>
    </w:rPr>
  </w:style>
  <w:style w:type="paragraph" w:styleId="14">
    <w:name w:val="toc 2"/>
    <w:basedOn w:val="1"/>
    <w:next w:val="1"/>
    <w:unhideWhenUsed/>
    <w:qFormat/>
    <w:uiPriority w:val="39"/>
    <w:pPr>
      <w:tabs>
        <w:tab w:val="right" w:leader="dot" w:pos="8296"/>
      </w:tabs>
      <w:spacing w:line="360" w:lineRule="auto"/>
      <w:ind w:left="600" w:leftChars="200" w:firstLine="600" w:firstLineChars="200"/>
    </w:pPr>
    <w:rPr>
      <w:rFonts w:hAnsi="等线 Light"/>
      <w:sz w:val="30"/>
      <w:szCs w:val="21"/>
    </w:rPr>
  </w:style>
  <w:style w:type="paragraph" w:styleId="15">
    <w:name w:val="Normal (Web)"/>
    <w:basedOn w:val="1"/>
    <w:qFormat/>
    <w:uiPriority w:val="99"/>
    <w:pPr>
      <w:spacing w:before="100" w:beforeAutospacing="1" w:after="100" w:afterAutospacing="1" w:line="240" w:lineRule="auto"/>
      <w:jc w:val="left"/>
    </w:pPr>
    <w:rPr>
      <w:rFonts w:ascii="Calibri" w:hAnsi="Calibri" w:eastAsia="宋体"/>
      <w:kern w:val="0"/>
      <w:sz w:val="24"/>
      <w:szCs w:val="24"/>
    </w:rPr>
  </w:style>
  <w:style w:type="character" w:styleId="18">
    <w:name w:val="Strong"/>
    <w:qFormat/>
    <w:uiPriority w:val="22"/>
    <w:rPr>
      <w:b/>
      <w:bCs/>
    </w:rPr>
  </w:style>
  <w:style w:type="character" w:styleId="19">
    <w:name w:val="page number"/>
    <w:basedOn w:val="17"/>
    <w:unhideWhenUsed/>
    <w:qFormat/>
    <w:uiPriority w:val="99"/>
  </w:style>
  <w:style w:type="character" w:styleId="20">
    <w:name w:val="Emphasis"/>
    <w:qFormat/>
    <w:uiPriority w:val="20"/>
    <w:rPr>
      <w:i/>
      <w:iCs/>
    </w:rPr>
  </w:style>
  <w:style w:type="character" w:styleId="21">
    <w:name w:val="Hyperlink"/>
    <w:unhideWhenUsed/>
    <w:qFormat/>
    <w:uiPriority w:val="99"/>
    <w:rPr>
      <w:color w:val="0563C1"/>
      <w:u w:val="single"/>
    </w:rPr>
  </w:style>
  <w:style w:type="paragraph" w:customStyle="1" w:styleId="22">
    <w:name w:val="NormalIndent"/>
    <w:basedOn w:val="1"/>
    <w:qFormat/>
    <w:uiPriority w:val="0"/>
    <w:pPr>
      <w:ind w:firstLine="420"/>
      <w:textAlignment w:val="baseline"/>
    </w:pPr>
    <w:rPr>
      <w:rFonts w:ascii="Calibri" w:hAnsi="Calibri" w:eastAsia="宋体"/>
      <w:sz w:val="21"/>
    </w:rPr>
  </w:style>
  <w:style w:type="character" w:customStyle="1" w:styleId="23">
    <w:name w:val="页眉 Char"/>
    <w:link w:val="12"/>
    <w:qFormat/>
    <w:uiPriority w:val="99"/>
    <w:rPr>
      <w:rFonts w:eastAsia="仿宋_GB2312"/>
      <w:kern w:val="2"/>
      <w:sz w:val="18"/>
    </w:rPr>
  </w:style>
  <w:style w:type="character" w:customStyle="1" w:styleId="24">
    <w:name w:val="页脚 Char"/>
    <w:link w:val="11"/>
    <w:qFormat/>
    <w:uiPriority w:val="99"/>
    <w:rPr>
      <w:rFonts w:ascii="仿宋_GB2312" w:hAnsi="仿宋_GB2312" w:eastAsia="仿宋_GB2312"/>
      <w:kern w:val="2"/>
      <w:sz w:val="18"/>
    </w:rPr>
  </w:style>
  <w:style w:type="character" w:customStyle="1" w:styleId="25">
    <w:name w:val="Character Style 1"/>
    <w:qFormat/>
    <w:uiPriority w:val="0"/>
    <w:rPr>
      <w:rFonts w:ascii="新宋体" w:hAnsi="新宋体" w:cs="新宋体"/>
      <w:sz w:val="33"/>
      <w:szCs w:val="33"/>
    </w:rPr>
  </w:style>
  <w:style w:type="character" w:customStyle="1" w:styleId="26">
    <w:name w:val="正文文本缩进 2 Char"/>
    <w:link w:val="9"/>
    <w:qFormat/>
    <w:uiPriority w:val="0"/>
    <w:rPr>
      <w:rFonts w:eastAsia="方正仿宋_GBK"/>
      <w:kern w:val="2"/>
      <w:sz w:val="32"/>
      <w:szCs w:val="32"/>
    </w:rPr>
  </w:style>
  <w:style w:type="character" w:customStyle="1" w:styleId="27">
    <w:name w:val="批注框文本 Char"/>
    <w:link w:val="10"/>
    <w:semiHidden/>
    <w:qFormat/>
    <w:uiPriority w:val="99"/>
    <w:rPr>
      <w:rFonts w:ascii="仿宋_GB2312" w:hAnsi="仿宋_GB2312" w:eastAsia="仿宋_GB2312"/>
      <w:kern w:val="2"/>
      <w:sz w:val="18"/>
      <w:szCs w:val="18"/>
    </w:rPr>
  </w:style>
  <w:style w:type="character" w:customStyle="1" w:styleId="28">
    <w:name w:val="标题 1 Char"/>
    <w:link w:val="3"/>
    <w:qFormat/>
    <w:uiPriority w:val="9"/>
    <w:rPr>
      <w:b/>
      <w:bCs/>
      <w:kern w:val="44"/>
      <w:sz w:val="30"/>
      <w:szCs w:val="44"/>
    </w:rPr>
  </w:style>
  <w:style w:type="character" w:customStyle="1" w:styleId="29">
    <w:name w:val="标题 2 字符"/>
    <w:qFormat/>
    <w:uiPriority w:val="99"/>
    <w:rPr>
      <w:rFonts w:ascii="等线 Light" w:hAnsi="等线 Light" w:eastAsia="等线 Light" w:cs="Times New Roman"/>
      <w:b/>
      <w:bCs/>
      <w:kern w:val="2"/>
      <w:sz w:val="32"/>
      <w:szCs w:val="32"/>
    </w:rPr>
  </w:style>
  <w:style w:type="character" w:customStyle="1" w:styleId="30">
    <w:name w:val="标题 4 Char"/>
    <w:link w:val="5"/>
    <w:semiHidden/>
    <w:qFormat/>
    <w:uiPriority w:val="9"/>
    <w:rPr>
      <w:rFonts w:ascii="等线 Light" w:hAnsi="等线 Light" w:eastAsia="等线 Light" w:cs="Times New Roman"/>
      <w:b/>
      <w:bCs/>
      <w:kern w:val="2"/>
      <w:sz w:val="28"/>
      <w:szCs w:val="28"/>
    </w:rPr>
  </w:style>
  <w:style w:type="character" w:customStyle="1" w:styleId="31">
    <w:name w:val="font11"/>
    <w:qFormat/>
    <w:uiPriority w:val="0"/>
    <w:rPr>
      <w:rFonts w:hint="eastAsia" w:ascii="宋体" w:hAnsi="宋体" w:eastAsia="宋体" w:cs="宋体"/>
      <w:color w:val="000000"/>
      <w:sz w:val="24"/>
      <w:szCs w:val="24"/>
      <w:u w:val="none"/>
    </w:rPr>
  </w:style>
  <w:style w:type="character" w:customStyle="1" w:styleId="32">
    <w:name w:val="正文文本 Char"/>
    <w:link w:val="2"/>
    <w:qFormat/>
    <w:uiPriority w:val="99"/>
    <w:rPr>
      <w:rFonts w:ascii="仿宋_GB2312" w:hAnsi="仿宋_GB2312" w:eastAsia="仿宋_GB2312"/>
      <w:kern w:val="2"/>
      <w:sz w:val="32"/>
    </w:rPr>
  </w:style>
  <w:style w:type="character" w:customStyle="1" w:styleId="33">
    <w:name w:val="标题 2 Char"/>
    <w:link w:val="4"/>
    <w:qFormat/>
    <w:uiPriority w:val="99"/>
    <w:rPr>
      <w:rFonts w:ascii="Cambria" w:hAnsi="Cambria" w:eastAsia="楷体_GB2312" w:cs="Cambria"/>
      <w:b/>
      <w:bCs/>
      <w:szCs w:val="32"/>
    </w:rPr>
  </w:style>
  <w:style w:type="character" w:customStyle="1" w:styleId="34">
    <w:name w:val="批注文字 Char"/>
    <w:link w:val="8"/>
    <w:qFormat/>
    <w:uiPriority w:val="0"/>
    <w:rPr>
      <w:rFonts w:eastAsia="仿宋_GB2312"/>
      <w:kern w:val="2"/>
      <w:sz w:val="32"/>
      <w:szCs w:val="24"/>
    </w:rPr>
  </w:style>
  <w:style w:type="paragraph" w:customStyle="1" w:styleId="35">
    <w:name w:val="（一）"/>
    <w:basedOn w:val="1"/>
    <w:qFormat/>
    <w:uiPriority w:val="0"/>
    <w:pPr>
      <w:ind w:firstLine="640" w:firstLineChars="200"/>
    </w:pPr>
    <w:rPr>
      <w:rFonts w:ascii="楷体_GB2312" w:hAnsi="??" w:eastAsia="楷体_GB2312" w:cs="楷体_GB2312"/>
      <w:kern w:val="0"/>
      <w:szCs w:val="32"/>
    </w:rPr>
  </w:style>
  <w:style w:type="paragraph" w:customStyle="1" w:styleId="36">
    <w:name w:val="TOC 标题1"/>
    <w:basedOn w:val="3"/>
    <w:next w:val="1"/>
    <w:qFormat/>
    <w:uiPriority w:val="39"/>
    <w:pPr>
      <w:widowControl/>
      <w:spacing w:before="240" w:line="259" w:lineRule="auto"/>
      <w:jc w:val="left"/>
      <w:outlineLvl w:val="9"/>
    </w:pPr>
    <w:rPr>
      <w:rFonts w:ascii="等线 Light" w:hAnsi="等线 Light" w:eastAsia="等线 Light"/>
      <w:b w:val="0"/>
      <w:bCs w:val="0"/>
      <w:color w:val="2F5496"/>
      <w:kern w:val="0"/>
      <w:sz w:val="32"/>
      <w:szCs w:val="32"/>
    </w:rPr>
  </w:style>
  <w:style w:type="paragraph" w:customStyle="1" w:styleId="37">
    <w:name w:val="Char Char Char Char Char Char"/>
    <w:basedOn w:val="1"/>
    <w:qFormat/>
    <w:uiPriority w:val="0"/>
    <w:pPr>
      <w:spacing w:line="240" w:lineRule="auto"/>
    </w:pPr>
    <w:rPr>
      <w:rFonts w:ascii="Calibri" w:hAnsi="Calibri" w:eastAsia="宋体"/>
      <w:sz w:val="21"/>
    </w:rPr>
  </w:style>
  <w:style w:type="paragraph" w:customStyle="1" w:styleId="38">
    <w:name w:val="p0"/>
    <w:basedOn w:val="1"/>
    <w:qFormat/>
    <w:uiPriority w:val="0"/>
    <w:pPr>
      <w:widowControl/>
      <w:spacing w:line="240" w:lineRule="auto"/>
    </w:pPr>
    <w:rPr>
      <w:rFonts w:ascii="Times New Roman" w:hAnsi="Times New Roman" w:eastAsia="宋体"/>
      <w:kern w:val="0"/>
      <w:sz w:val="21"/>
      <w:szCs w:val="21"/>
    </w:rPr>
  </w:style>
  <w:style w:type="paragraph" w:customStyle="1" w:styleId="39">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Times New Roman" w:hAnsi="Times New Roman" w:eastAsia="宋体" w:cs="Calibri"/>
      <w:color w:val="000000"/>
      <w:kern w:val="2"/>
      <w:sz w:val="21"/>
      <w:szCs w:val="21"/>
      <w:lang w:val="en-US" w:eastAsia="zh-CN" w:bidi="ar-SA"/>
    </w:rPr>
  </w:style>
  <w:style w:type="paragraph" w:customStyle="1" w:styleId="40">
    <w:name w:val="Acetate"/>
    <w:basedOn w:val="1"/>
    <w:qFormat/>
    <w:uiPriority w:val="0"/>
    <w:pPr>
      <w:spacing w:line="240" w:lineRule="auto"/>
      <w:textAlignment w:val="baseline"/>
    </w:pPr>
    <w:rPr>
      <w:rFonts w:ascii="Calibri" w:hAnsi="Calibri" w:eastAsia="宋体"/>
      <w:sz w:val="18"/>
      <w:szCs w:val="18"/>
    </w:rPr>
  </w:style>
  <w:style w:type="paragraph" w:customStyle="1" w:styleId="41">
    <w:name w:val="修订1"/>
    <w:hidden/>
    <w:semiHidden/>
    <w:qFormat/>
    <w:uiPriority w:val="99"/>
    <w:rPr>
      <w:rFonts w:ascii="仿宋_GB2312" w:hAnsi="仿宋_GB2312" w:eastAsia="仿宋_GB2312" w:cs="Times New Roman"/>
      <w:kern w:val="2"/>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FZU</Company>
  <Pages>69</Pages>
  <Words>28441</Words>
  <Characters>29088</Characters>
  <Lines>283</Lines>
  <Paragraphs>79</Paragraphs>
  <TotalTime>0</TotalTime>
  <ScaleCrop>false</ScaleCrop>
  <LinksUpToDate>false</LinksUpToDate>
  <CharactersWithSpaces>29343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2021-10-22T01:09:00Z</dcterms:created>
  <dc:creator>Administrator</dc:creator>
  <cp:lastModifiedBy>Colin</cp:lastModifiedBy>
  <cp:lastPrinted>2021-10-28T19:10:00Z</cp:lastPrinted>
  <dcterms:modified xsi:type="dcterms:W3CDTF">2025-03-10T03:12:25Z</dcterms:modified>
  <dc:title>非密</dc:title>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0E2182E481064A9CB1B875644B8FEA50_13</vt:lpwstr>
  </property>
  <property fmtid="{D5CDD505-2E9C-101B-9397-08002B2CF9AE}" pid="4" name="KSOTemplateDocerSaveRecord">
    <vt:lpwstr>eyJoZGlkIjoiNDM0ZDIwMjE1OTg5ODg0NTgxODQ2ZjY4ODFlYWY5YjMiLCJ1c2VySWQiOiI1NTQyNzYyNzIifQ==</vt:lpwstr>
  </property>
</Properties>
</file>