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2023年省级粮食安全专项资金转移支付-长乐区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/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保质保量完成储备粮保管任务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93.5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1)维修及功能提升仓容数量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万吨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5.2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1)储备粮食质量完好率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1)保证长乐区常住人口180天的供应量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天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180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1)企业满意度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