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75" w:rsidRPr="00284EDF" w:rsidRDefault="003E3675" w:rsidP="003E3675">
      <w:pPr>
        <w:pStyle w:val="p0"/>
        <w:spacing w:line="520" w:lineRule="exact"/>
        <w:rPr>
          <w:rFonts w:ascii="仿宋" w:eastAsia="仿宋" w:hAnsi="仿宋" w:hint="eastAsia"/>
          <w:bCs/>
          <w:color w:val="000000"/>
        </w:rPr>
      </w:pPr>
      <w:r w:rsidRPr="00284EDF">
        <w:rPr>
          <w:rFonts w:ascii="仿宋" w:eastAsia="仿宋" w:hAnsi="仿宋" w:hint="eastAsia"/>
          <w:bCs/>
          <w:color w:val="000000"/>
        </w:rPr>
        <w:t>附件2</w:t>
      </w:r>
    </w:p>
    <w:p w:rsidR="003E3675" w:rsidRDefault="003E3675" w:rsidP="003E3675">
      <w:pPr>
        <w:pStyle w:val="p0"/>
        <w:spacing w:line="520" w:lineRule="exact"/>
        <w:rPr>
          <w:rFonts w:ascii="仿宋" w:eastAsia="仿宋" w:hAnsi="仿宋" w:hint="eastAsia"/>
          <w:b/>
          <w:bCs/>
          <w:color w:val="000000"/>
        </w:rPr>
      </w:pPr>
    </w:p>
    <w:p w:rsidR="003E3675" w:rsidRPr="001417F8" w:rsidRDefault="003E3675" w:rsidP="003E3675">
      <w:pPr>
        <w:pStyle w:val="p0"/>
        <w:spacing w:line="520" w:lineRule="exact"/>
        <w:jc w:val="center"/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</w:pPr>
      <w:r w:rsidRPr="001417F8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福州市供销社</w:t>
      </w: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2020</w:t>
      </w:r>
      <w:r w:rsidRPr="001417F8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年度</w:t>
      </w:r>
    </w:p>
    <w:p w:rsidR="003E3675" w:rsidRPr="001417F8" w:rsidRDefault="003E3675" w:rsidP="003E3675">
      <w:pPr>
        <w:pStyle w:val="p0"/>
        <w:spacing w:afterLines="50" w:line="520" w:lineRule="exact"/>
        <w:jc w:val="center"/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</w:pPr>
      <w:r w:rsidRPr="001417F8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安全生产目标责任考评办法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第一条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为健全安全生产目标责任体系，落实各直属单位安全生产责任，加强安全生产目标责任考评，客观评价安全生产工作成效，服务市社综合改革发展。根据新《安全生产法》、《福州市安全生产“党政同责、一岗双责”规定》和</w:t>
      </w:r>
      <w:r w:rsidRPr="009645A7">
        <w:rPr>
          <w:rFonts w:ascii="仿宋_GB2312" w:eastAsia="仿宋_GB2312" w:hAnsi="仿宋" w:hint="eastAsia"/>
          <w:color w:val="000000"/>
          <w:sz w:val="32"/>
          <w:szCs w:val="32"/>
        </w:rPr>
        <w:t>《福州市人民政府安全生产委员会关于开展2020年安全生产和消防工作考核细则及评分标准的通知》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等相关规定，制定本考评办法。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第二条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本办法适用于福州市供销社各直属单位20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年安全生产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和消防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工作落实情况的考评。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考评具体工作由市社经济发展处、监察审计室、其他处（室）组织实施。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安全生产目标责任考评奖惩坚持“以人为本、安全发展”的理念和“安全第一、预防为主、综合治理”的方针，坚持客观公正、实事求是。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第四条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安全生产目标责任考评工作依据安全生产法律法规、政策规定和市政府安全生产委员会下达的20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年安全生产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和消防工作考核细则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以及本年度安全工作部署要求等开展。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第五条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考评内容由安全生产责任控制指标、安全生产工作措施和成效、市社安全办综合评分、实地检查四个部分组成。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考评采取评分制，共1000分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+50分（加分项）</w:t>
      </w:r>
      <w:r w:rsidRPr="00284EDF">
        <w:rPr>
          <w:rFonts w:ascii="仿宋_GB2312" w:eastAsia="仿宋_GB2312" w:hAnsi="仿宋" w:hint="eastAsia"/>
          <w:b/>
          <w:color w:val="000000"/>
          <w:sz w:val="32"/>
          <w:szCs w:val="32"/>
        </w:rPr>
        <w:t>，扣分以考核内容中的标准分为单元，扣完为止。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（一）安全生产责任控制指标考评标准分为100分。内容由各类事故死亡人数和较大事故起数一个方面组成。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事故指标考评以市社经济发展处核对年度事故统计数据为准。</w:t>
      </w:r>
    </w:p>
    <w:p w:rsidR="003E3675" w:rsidRPr="002B1F2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</w:pPr>
      <w:r w:rsidRPr="002B1F2F"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（二）安全生产工作措施和成效考评标准分为700分。内容由安全生产组织领导、安全生产制度机制建设、安全生产重点工作落实、安全生产基层基础工作以及事故报告和调查处理等五个方面组成。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（三）抽查被考核单位网点安全生产落实情况考评标准分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150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分。考核组在考评中将随机抽查1-3个网点，并根据评分标准进行评分。</w:t>
      </w:r>
    </w:p>
    <w:p w:rsidR="003E3675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日常安全生产工作扣分为50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分，根据各单位日常配合市社安全生产工作要求完成情况进行评分。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（五）日常安全生产工作加分为50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分，根据各单位日常安全生产工作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表现突出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完成情况进行评分。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第六条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安全生产目标责任的考评，采取听汇报、查资料、看现场等办法进行，坚持严格标准、客观公正、实事求是，做年度考评与平时检查相结合、定性考核与量化考核相结合。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第七条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各单位负责人20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>年安全生产履职情况报告必须在考核当日交由考核组带回。</w:t>
      </w:r>
    </w:p>
    <w:p w:rsidR="003E3675" w:rsidRPr="002D4FDB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第八条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2D4FDB">
        <w:rPr>
          <w:rFonts w:ascii="仿宋_GB2312" w:eastAsia="仿宋_GB2312" w:hAnsi="仿宋" w:hint="eastAsia"/>
          <w:color w:val="000000"/>
          <w:sz w:val="32"/>
          <w:szCs w:val="32"/>
        </w:rPr>
        <w:t>考评由考评组对照考评评分标准逐项查阅相关材料，分别进行评分，</w:t>
      </w:r>
      <w:r w:rsidRPr="002D4FDB">
        <w:rPr>
          <w:rFonts w:ascii="仿宋_GB2312" w:eastAsia="仿宋_GB2312" w:hAnsi="仿宋" w:hint="eastAsia"/>
          <w:b/>
          <w:color w:val="000000"/>
          <w:sz w:val="32"/>
          <w:szCs w:val="32"/>
        </w:rPr>
        <w:t>并现场给予公布得分数。</w:t>
      </w:r>
    </w:p>
    <w:p w:rsidR="003E3675" w:rsidRPr="002B1F2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</w:pPr>
      <w:r w:rsidRPr="002B1F2F">
        <w:rPr>
          <w:rFonts w:ascii="仿宋_GB2312" w:eastAsia="仿宋_GB2312" w:hAnsi="仿宋" w:hint="eastAsia"/>
          <w:b/>
          <w:spacing w:val="-10"/>
          <w:sz w:val="32"/>
          <w:szCs w:val="32"/>
        </w:rPr>
        <w:t>第九条</w:t>
      </w:r>
      <w:r w:rsidRPr="002B1F2F">
        <w:rPr>
          <w:rFonts w:ascii="仿宋_GB2312" w:eastAsia="仿宋_GB2312" w:hAnsi="仿宋" w:hint="eastAsia"/>
          <w:spacing w:val="-10"/>
          <w:sz w:val="32"/>
          <w:szCs w:val="32"/>
        </w:rPr>
        <w:t xml:space="preserve"> </w:t>
      </w:r>
      <w:r w:rsidRPr="002B1F2F"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安全生产目标责任的年度考评情况，由市社经济发展处进行汇总和综合初评，并报市社领导审定，由市社确定并进行表彰奖励。对发生重大及以上级别生产安全事故的直属单位，取消评比资格。</w:t>
      </w:r>
    </w:p>
    <w:p w:rsidR="003E3675" w:rsidRPr="00284EDF" w:rsidRDefault="003E3675" w:rsidP="003E3675">
      <w:pPr>
        <w:pStyle w:val="p16"/>
        <w:spacing w:line="500" w:lineRule="exact"/>
        <w:ind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84EDF">
        <w:rPr>
          <w:rFonts w:ascii="仿宋_GB2312" w:eastAsia="仿宋_GB2312" w:hAnsi="仿宋" w:hint="eastAsia"/>
          <w:b/>
          <w:sz w:val="32"/>
          <w:szCs w:val="32"/>
        </w:rPr>
        <w:t>第十条</w:t>
      </w:r>
      <w:r w:rsidRPr="00284EDF">
        <w:rPr>
          <w:rFonts w:ascii="仿宋_GB2312" w:eastAsia="仿宋_GB2312" w:hAnsi="仿宋" w:hint="eastAsia"/>
          <w:color w:val="000000"/>
          <w:sz w:val="32"/>
          <w:szCs w:val="32"/>
        </w:rPr>
        <w:t xml:space="preserve"> 本办法自公布之日起施行。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42" w:rsidRDefault="00D50D42" w:rsidP="003E3675">
      <w:pPr>
        <w:spacing w:after="0"/>
      </w:pPr>
      <w:r>
        <w:separator/>
      </w:r>
    </w:p>
  </w:endnote>
  <w:endnote w:type="continuationSeparator" w:id="0">
    <w:p w:rsidR="00D50D42" w:rsidRDefault="00D50D42" w:rsidP="003E36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42" w:rsidRDefault="00D50D42" w:rsidP="003E3675">
      <w:pPr>
        <w:spacing w:after="0"/>
      </w:pPr>
      <w:r>
        <w:separator/>
      </w:r>
    </w:p>
  </w:footnote>
  <w:footnote w:type="continuationSeparator" w:id="0">
    <w:p w:rsidR="00D50D42" w:rsidRDefault="00D50D42" w:rsidP="003E36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3675"/>
    <w:rsid w:val="00426133"/>
    <w:rsid w:val="004358AB"/>
    <w:rsid w:val="008B7726"/>
    <w:rsid w:val="00C922A1"/>
    <w:rsid w:val="00D31D50"/>
    <w:rsid w:val="00D5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6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67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6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675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3E3675"/>
    <w:pPr>
      <w:adjustRightInd/>
      <w:snapToGrid/>
      <w:spacing w:after="0"/>
      <w:jc w:val="both"/>
    </w:pPr>
    <w:rPr>
      <w:rFonts w:ascii="方正仿宋简体" w:eastAsia="宋体" w:hAnsi="方正仿宋简体" w:cs="宋体"/>
      <w:sz w:val="32"/>
      <w:szCs w:val="32"/>
    </w:rPr>
  </w:style>
  <w:style w:type="paragraph" w:customStyle="1" w:styleId="p16">
    <w:name w:val="p16"/>
    <w:basedOn w:val="a"/>
    <w:rsid w:val="003E367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2021-01-05T07:32:00Z</dcterms:modified>
</cp:coreProperties>
</file>